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868" w:tblpY="1456"/>
        <w:tblW w:w="14709" w:type="dxa"/>
        <w:tblLook w:val="04A0" w:firstRow="1" w:lastRow="0" w:firstColumn="1" w:lastColumn="0" w:noHBand="0" w:noVBand="1"/>
      </w:tblPr>
      <w:tblGrid>
        <w:gridCol w:w="1859"/>
        <w:gridCol w:w="13002"/>
      </w:tblGrid>
      <w:tr w:rsidR="00A64BA9" w:rsidRPr="00A64BA9" w:rsidTr="00A64BA9">
        <w:tc>
          <w:tcPr>
            <w:tcW w:w="1859" w:type="dxa"/>
          </w:tcPr>
          <w:p w:rsidR="00A64BA9" w:rsidRPr="00A64BA9" w:rsidRDefault="00A64BA9" w:rsidP="00475633">
            <w:pPr>
              <w:shd w:val="clear" w:color="auto" w:fill="FFFFFF"/>
              <w:spacing w:line="319" w:lineRule="atLeast"/>
              <w:jc w:val="center"/>
              <w:rPr>
                <w:rFonts w:ascii="Calibri" w:eastAsia="Times New Roman" w:hAnsi="Calibri" w:cs="Calibri"/>
                <w:b/>
                <w:u w:val="single"/>
                <w:lang w:eastAsia="en-GB"/>
              </w:rPr>
            </w:pPr>
            <w:r w:rsidRPr="00A64BA9">
              <w:rPr>
                <w:rFonts w:ascii="Calibri" w:eastAsia="Times New Roman" w:hAnsi="Calibri" w:cs="Calibri"/>
                <w:b/>
                <w:u w:val="single"/>
                <w:lang w:eastAsia="en-GB"/>
              </w:rPr>
              <w:t>SUBJECT</w:t>
            </w:r>
          </w:p>
        </w:tc>
        <w:tc>
          <w:tcPr>
            <w:tcW w:w="12850" w:type="dxa"/>
          </w:tcPr>
          <w:p w:rsidR="00A64BA9" w:rsidRPr="00A64BA9" w:rsidRDefault="00A64BA9" w:rsidP="00475633">
            <w:pPr>
              <w:shd w:val="clear" w:color="auto" w:fill="FFFFFF"/>
              <w:spacing w:line="319" w:lineRule="atLeast"/>
              <w:jc w:val="center"/>
              <w:rPr>
                <w:rFonts w:ascii="Calibri" w:eastAsia="Times New Roman" w:hAnsi="Calibri" w:cs="Calibri"/>
                <w:b/>
                <w:u w:val="single"/>
                <w:lang w:eastAsia="en-GB"/>
              </w:rPr>
            </w:pPr>
            <w:r w:rsidRPr="00A64BA9">
              <w:rPr>
                <w:rFonts w:ascii="Calibri" w:eastAsia="Times New Roman" w:hAnsi="Calibri" w:cs="Calibri"/>
                <w:b/>
                <w:u w:val="single"/>
                <w:lang w:eastAsia="en-GB"/>
              </w:rPr>
              <w:t>MEASURE / ANNOUNCEMENT</w:t>
            </w:r>
          </w:p>
        </w:tc>
      </w:tr>
      <w:tr w:rsidR="00497FEA" w:rsidRPr="00A64BA9" w:rsidTr="00A64BA9">
        <w:tc>
          <w:tcPr>
            <w:tcW w:w="1859" w:type="dxa"/>
          </w:tcPr>
          <w:p w:rsidR="00497FEA" w:rsidRDefault="00497FEA" w:rsidP="00497FEA">
            <w:pPr>
              <w:shd w:val="clear" w:color="auto" w:fill="FFFFFF"/>
              <w:spacing w:line="319" w:lineRule="atLeast"/>
              <w:rPr>
                <w:rFonts w:ascii="Calibri" w:eastAsia="Times New Roman" w:hAnsi="Calibri" w:cs="Calibri"/>
                <w:b/>
                <w:u w:val="single"/>
                <w:lang w:eastAsia="en-GB"/>
              </w:rPr>
            </w:pPr>
            <w:r>
              <w:rPr>
                <w:rFonts w:ascii="Calibri" w:eastAsia="Times New Roman" w:hAnsi="Calibri" w:cs="Calibri"/>
                <w:b/>
                <w:u w:val="single"/>
                <w:lang w:eastAsia="en-GB"/>
              </w:rPr>
              <w:t>ACCESS TO FINANCE</w:t>
            </w:r>
          </w:p>
        </w:tc>
        <w:tc>
          <w:tcPr>
            <w:tcW w:w="12850" w:type="dxa"/>
          </w:tcPr>
          <w:p w:rsidR="00497FEA" w:rsidRDefault="0022788E" w:rsidP="00212A48">
            <w:pPr>
              <w:pStyle w:val="ListParagraph"/>
              <w:numPr>
                <w:ilvl w:val="0"/>
                <w:numId w:val="22"/>
              </w:numPr>
              <w:contextualSpacing w:val="0"/>
            </w:pPr>
            <w:r>
              <w:t xml:space="preserve">The British Business Bank will invest an additional £400 million in venture capital funds </w:t>
            </w:r>
            <w:r w:rsidR="00212A48">
              <w:t>for businesses looking to scale up</w:t>
            </w:r>
          </w:p>
        </w:tc>
      </w:tr>
      <w:tr w:rsidR="00221092" w:rsidRPr="00A64BA9" w:rsidTr="00A64BA9">
        <w:tc>
          <w:tcPr>
            <w:tcW w:w="1859" w:type="dxa"/>
          </w:tcPr>
          <w:p w:rsidR="00221092" w:rsidRPr="00A64BA9" w:rsidRDefault="00221092" w:rsidP="00221092">
            <w:pPr>
              <w:shd w:val="clear" w:color="auto" w:fill="FFFFFF"/>
              <w:spacing w:line="319" w:lineRule="atLeast"/>
              <w:rPr>
                <w:rFonts w:ascii="Calibri" w:eastAsia="Times New Roman" w:hAnsi="Calibri" w:cs="Calibri"/>
                <w:b/>
                <w:u w:val="single"/>
                <w:lang w:eastAsia="en-GB"/>
              </w:rPr>
            </w:pPr>
            <w:r>
              <w:rPr>
                <w:rFonts w:ascii="Calibri" w:eastAsia="Times New Roman" w:hAnsi="Calibri" w:cs="Calibri"/>
                <w:b/>
                <w:u w:val="single"/>
                <w:lang w:eastAsia="en-GB"/>
              </w:rPr>
              <w:t xml:space="preserve">BUSINESS </w:t>
            </w:r>
            <w:r w:rsidRPr="00A64BA9">
              <w:rPr>
                <w:rFonts w:ascii="Calibri" w:eastAsia="Times New Roman" w:hAnsi="Calibri" w:cs="Calibri"/>
                <w:b/>
                <w:u w:val="single"/>
                <w:lang w:eastAsia="en-GB"/>
              </w:rPr>
              <w:t>TAXATION</w:t>
            </w:r>
            <w:r>
              <w:rPr>
                <w:rFonts w:ascii="Calibri" w:eastAsia="Times New Roman" w:hAnsi="Calibri" w:cs="Calibri"/>
                <w:b/>
                <w:u w:val="single"/>
                <w:lang w:eastAsia="en-GB"/>
              </w:rPr>
              <w:t xml:space="preserve"> </w:t>
            </w:r>
          </w:p>
        </w:tc>
        <w:tc>
          <w:tcPr>
            <w:tcW w:w="12850" w:type="dxa"/>
          </w:tcPr>
          <w:p w:rsidR="00E84F3E" w:rsidRDefault="00E84F3E" w:rsidP="00E84F3E">
            <w:pPr>
              <w:pStyle w:val="ListParagraph"/>
              <w:numPr>
                <w:ilvl w:val="0"/>
                <w:numId w:val="29"/>
              </w:numPr>
              <w:contextualSpacing w:val="0"/>
              <w:jc w:val="both"/>
            </w:pPr>
            <w:r>
              <w:t>Rural business rates relief to double to 100% from 1 April 2017</w:t>
            </w:r>
          </w:p>
          <w:p w:rsidR="00E84F3E" w:rsidRDefault="00E84F3E" w:rsidP="00E84F3E">
            <w:pPr>
              <w:pStyle w:val="ListParagraph"/>
              <w:numPr>
                <w:ilvl w:val="0"/>
                <w:numId w:val="29"/>
              </w:numPr>
              <w:contextualSpacing w:val="0"/>
              <w:jc w:val="both"/>
            </w:pPr>
            <w:r>
              <w:t>A new 100% business rates relief for new full-fibre infrastructure for a 5 year period from 1 April 2017</w:t>
            </w:r>
          </w:p>
          <w:p w:rsidR="00A7173B" w:rsidRDefault="00A7173B" w:rsidP="00A7173B">
            <w:pPr>
              <w:pStyle w:val="ListParagraph"/>
              <w:numPr>
                <w:ilvl w:val="0"/>
                <w:numId w:val="29"/>
              </w:numPr>
              <w:contextualSpacing w:val="0"/>
            </w:pPr>
            <w:r>
              <w:t>Caps for annual increase in business rates bills following revaluation confirmed: (</w:t>
            </w:r>
            <w:hyperlink r:id="rId8" w:history="1">
              <w:r w:rsidRPr="00D508EA">
                <w:rPr>
                  <w:rStyle w:val="Hyperlink"/>
                </w:rPr>
                <w:t>https://www.gov.uk/government/uploads/system/uploads/attachment_data/file/571567/Transitional_Relief_consultation_response.pdf</w:t>
              </w:r>
            </w:hyperlink>
            <w:r>
              <w:t xml:space="preserve">) </w:t>
            </w:r>
          </w:p>
          <w:p w:rsidR="0022788E" w:rsidRDefault="0022788E" w:rsidP="0022788E">
            <w:pPr>
              <w:pStyle w:val="ListParagraph"/>
              <w:numPr>
                <w:ilvl w:val="0"/>
                <w:numId w:val="4"/>
              </w:numPr>
              <w:contextualSpacing w:val="0"/>
              <w:jc w:val="both"/>
            </w:pPr>
            <w:r>
              <w:t>Insurance Premium Tax will rise from 10% to 12% in June 2017</w:t>
            </w:r>
          </w:p>
          <w:p w:rsidR="0022788E" w:rsidRDefault="0022788E" w:rsidP="0022788E">
            <w:pPr>
              <w:pStyle w:val="ListParagraph"/>
              <w:numPr>
                <w:ilvl w:val="0"/>
                <w:numId w:val="4"/>
              </w:numPr>
              <w:contextualSpacing w:val="0"/>
              <w:jc w:val="both"/>
            </w:pPr>
            <w:r>
              <w:t>The government will introduce a new 16.5% VAT rate from 1 April 2017 for businesses with limited costs, such</w:t>
            </w:r>
            <w:r w:rsidR="00212A48">
              <w:t xml:space="preserve"> as many labour-only businesses</w:t>
            </w:r>
          </w:p>
          <w:p w:rsidR="0022788E" w:rsidRDefault="0022788E" w:rsidP="00212A48">
            <w:pPr>
              <w:pStyle w:val="ListParagraph"/>
              <w:numPr>
                <w:ilvl w:val="0"/>
                <w:numId w:val="4"/>
              </w:numPr>
              <w:jc w:val="both"/>
            </w:pPr>
            <w:r>
              <w:t xml:space="preserve">The tax and employer National Insurance advantages of salary sacrifice schemes </w:t>
            </w:r>
            <w:r w:rsidR="00212A48">
              <w:t>will be removed from April 2017 (excludes childcare, Cycle to Work and ultralow emission cars)</w:t>
            </w:r>
          </w:p>
          <w:p w:rsidR="0022788E" w:rsidRDefault="0022788E" w:rsidP="0022788E">
            <w:pPr>
              <w:pStyle w:val="ListParagraph"/>
              <w:numPr>
                <w:ilvl w:val="0"/>
                <w:numId w:val="4"/>
              </w:numPr>
              <w:contextualSpacing w:val="0"/>
              <w:jc w:val="both"/>
            </w:pPr>
            <w:r>
              <w:t>Rules that limit the tax deductions that large groups that can claim for their UK in</w:t>
            </w:r>
            <w:r w:rsidR="00212A48">
              <w:t>terest expenses from April 2017</w:t>
            </w:r>
          </w:p>
          <w:p w:rsidR="0022788E" w:rsidRDefault="00212A48" w:rsidP="0022788E">
            <w:pPr>
              <w:pStyle w:val="ListParagraph"/>
              <w:numPr>
                <w:ilvl w:val="0"/>
                <w:numId w:val="4"/>
              </w:numPr>
              <w:contextualSpacing w:val="0"/>
              <w:jc w:val="both"/>
            </w:pPr>
            <w:r>
              <w:t>N</w:t>
            </w:r>
            <w:r w:rsidR="0022788E">
              <w:t>ew penalty for any person who has enabled another person or business to use a tax avoidance arrangement</w:t>
            </w:r>
            <w:r>
              <w:t xml:space="preserve"> that is later defeated by HMRC</w:t>
            </w:r>
          </w:p>
          <w:p w:rsidR="0022788E" w:rsidRDefault="0022788E" w:rsidP="0022788E">
            <w:pPr>
              <w:pStyle w:val="ListParagraph"/>
              <w:numPr>
                <w:ilvl w:val="0"/>
                <w:numId w:val="4"/>
              </w:numPr>
              <w:contextualSpacing w:val="0"/>
              <w:jc w:val="both"/>
            </w:pPr>
            <w:r>
              <w:t>Employee and employer National Insurance thresholds to be equalised at £157 per week from April 2017.</w:t>
            </w:r>
          </w:p>
          <w:p w:rsidR="0022788E" w:rsidRDefault="0022788E" w:rsidP="0022788E">
            <w:pPr>
              <w:pStyle w:val="ListParagraph"/>
              <w:numPr>
                <w:ilvl w:val="0"/>
                <w:numId w:val="4"/>
              </w:numPr>
              <w:contextualSpacing w:val="0"/>
              <w:jc w:val="both"/>
            </w:pPr>
            <w:r>
              <w:t>Commitment</w:t>
            </w:r>
            <w:r>
              <w:rPr>
                <w:rFonts w:ascii="Segoe UI Symbol" w:hAnsi="Segoe UI Symbol"/>
              </w:rPr>
              <w:t xml:space="preserve"> </w:t>
            </w:r>
            <w:r>
              <w:t xml:space="preserve">to abolish the Autumn Statement, with Budgets happening in the autumn from next year, along with "Spring Statement" from 2018. The Spring Statement will typically not include tax changes. </w:t>
            </w:r>
          </w:p>
          <w:p w:rsidR="00221092" w:rsidRDefault="0022788E" w:rsidP="0022788E">
            <w:pPr>
              <w:pStyle w:val="ListParagraph"/>
              <w:numPr>
                <w:ilvl w:val="0"/>
                <w:numId w:val="4"/>
              </w:numPr>
              <w:contextualSpacing w:val="0"/>
            </w:pPr>
            <w:r>
              <w:t>From 6 April 2017, the amount of investment social enterprises aged up to 7 years old can raise through Social Investment Tax Relief will increase to £1.5 million</w:t>
            </w:r>
          </w:p>
        </w:tc>
      </w:tr>
      <w:tr w:rsidR="00497FEA" w:rsidRPr="00A64BA9" w:rsidTr="00A64BA9">
        <w:tc>
          <w:tcPr>
            <w:tcW w:w="1859" w:type="dxa"/>
          </w:tcPr>
          <w:p w:rsidR="00497FEA" w:rsidRPr="00A64BA9" w:rsidRDefault="00221092" w:rsidP="00497FEA">
            <w:pPr>
              <w:shd w:val="clear" w:color="auto" w:fill="FFFFFF"/>
              <w:spacing w:line="319" w:lineRule="atLeast"/>
              <w:rPr>
                <w:b/>
                <w:bCs/>
                <w:iCs/>
                <w:u w:val="single"/>
              </w:rPr>
            </w:pPr>
            <w:r w:rsidRPr="00A64BA9">
              <w:rPr>
                <w:b/>
                <w:bCs/>
                <w:iCs/>
                <w:u w:val="single"/>
              </w:rPr>
              <w:t>ENVIRONMENTAL TAXATION</w:t>
            </w:r>
            <w:r>
              <w:rPr>
                <w:b/>
                <w:bCs/>
                <w:iCs/>
                <w:u w:val="single"/>
              </w:rPr>
              <w:t xml:space="preserve"> (INCLUDING FUEL DUTIES)</w:t>
            </w:r>
          </w:p>
        </w:tc>
        <w:tc>
          <w:tcPr>
            <w:tcW w:w="12850" w:type="dxa"/>
          </w:tcPr>
          <w:p w:rsidR="00497FEA" w:rsidRPr="00A64BA9" w:rsidRDefault="0022788E" w:rsidP="0022788E">
            <w:pPr>
              <w:pStyle w:val="ListParagraph"/>
              <w:numPr>
                <w:ilvl w:val="0"/>
                <w:numId w:val="21"/>
              </w:numPr>
              <w:contextualSpacing w:val="0"/>
            </w:pPr>
            <w:r w:rsidRPr="0022788E">
              <w:t>Fuel duty will rem</w:t>
            </w:r>
            <w:r>
              <w:t>ain frozen for the seventh year</w:t>
            </w:r>
          </w:p>
        </w:tc>
      </w:tr>
      <w:tr w:rsidR="00497FEA" w:rsidRPr="00A64BA9" w:rsidTr="00A64BA9">
        <w:tc>
          <w:tcPr>
            <w:tcW w:w="1859" w:type="dxa"/>
          </w:tcPr>
          <w:p w:rsidR="00497FEA" w:rsidRPr="00A64BA9" w:rsidRDefault="00221092" w:rsidP="00497FEA">
            <w:pPr>
              <w:shd w:val="clear" w:color="auto" w:fill="FFFFFF"/>
              <w:spacing w:line="319" w:lineRule="atLeast"/>
              <w:rPr>
                <w:b/>
                <w:bCs/>
                <w:iCs/>
                <w:u w:val="single"/>
              </w:rPr>
            </w:pPr>
            <w:r w:rsidRPr="00A64BA9">
              <w:rPr>
                <w:rFonts w:ascii="Calibri" w:eastAsia="Times New Roman" w:hAnsi="Calibri" w:cs="Calibri"/>
                <w:b/>
                <w:u w:val="single"/>
                <w:lang w:eastAsia="en-GB"/>
              </w:rPr>
              <w:t>HOUSING</w:t>
            </w:r>
          </w:p>
        </w:tc>
        <w:tc>
          <w:tcPr>
            <w:tcW w:w="12850" w:type="dxa"/>
          </w:tcPr>
          <w:p w:rsidR="003178E9" w:rsidRDefault="003178E9" w:rsidP="003178E9">
            <w:pPr>
              <w:pStyle w:val="ListParagraph"/>
              <w:numPr>
                <w:ilvl w:val="0"/>
                <w:numId w:val="4"/>
              </w:numPr>
              <w:contextualSpacing w:val="0"/>
              <w:rPr>
                <w:lang w:val="en-US"/>
              </w:rPr>
            </w:pPr>
            <w:r>
              <w:rPr>
                <w:lang w:val="en-US"/>
              </w:rPr>
              <w:t>£2.3 billion for a new Housing Infrastructure Fund</w:t>
            </w:r>
            <w:r w:rsidR="007437EB">
              <w:rPr>
                <w:lang w:val="en-US"/>
              </w:rPr>
              <w:t xml:space="preserve"> (to fund enabling infrastructure for new housing)</w:t>
            </w:r>
          </w:p>
          <w:p w:rsidR="003178E9" w:rsidRDefault="003178E9" w:rsidP="003178E9">
            <w:pPr>
              <w:pStyle w:val="ListParagraph"/>
              <w:numPr>
                <w:ilvl w:val="0"/>
                <w:numId w:val="4"/>
              </w:numPr>
              <w:contextualSpacing w:val="0"/>
              <w:rPr>
                <w:lang w:val="en-US"/>
              </w:rPr>
            </w:pPr>
            <w:r>
              <w:rPr>
                <w:color w:val="0B0C0C"/>
                <w:shd w:val="clear" w:color="auto" w:fill="FFFFFF"/>
                <w:lang w:val="en-US"/>
              </w:rPr>
              <w:t>£1.4 billion to prov</w:t>
            </w:r>
            <w:r w:rsidR="007437EB">
              <w:rPr>
                <w:color w:val="0B0C0C"/>
                <w:shd w:val="clear" w:color="auto" w:fill="FFFFFF"/>
                <w:lang w:val="en-US"/>
              </w:rPr>
              <w:t>ide 40,000 new affordable homes</w:t>
            </w:r>
          </w:p>
          <w:p w:rsidR="003178E9" w:rsidRDefault="007437EB" w:rsidP="003178E9">
            <w:pPr>
              <w:pStyle w:val="ListParagraph"/>
              <w:numPr>
                <w:ilvl w:val="0"/>
                <w:numId w:val="4"/>
              </w:numPr>
              <w:contextualSpacing w:val="0"/>
              <w:rPr>
                <w:lang w:val="en-US"/>
              </w:rPr>
            </w:pPr>
            <w:r>
              <w:rPr>
                <w:color w:val="0B0C0C"/>
                <w:shd w:val="clear" w:color="auto" w:fill="FFFFFF"/>
                <w:lang w:val="en-US"/>
              </w:rPr>
              <w:t xml:space="preserve">£1.7 billion </w:t>
            </w:r>
            <w:r w:rsidR="003178E9">
              <w:rPr>
                <w:color w:val="0B0C0C"/>
                <w:shd w:val="clear" w:color="auto" w:fill="FFFFFF"/>
                <w:lang w:val="en-US"/>
              </w:rPr>
              <w:t>to speed up the cons</w:t>
            </w:r>
            <w:r>
              <w:rPr>
                <w:color w:val="0B0C0C"/>
                <w:shd w:val="clear" w:color="auto" w:fill="FFFFFF"/>
                <w:lang w:val="en-US"/>
              </w:rPr>
              <w:t>truction of new homes on public-sector land</w:t>
            </w:r>
          </w:p>
          <w:p w:rsidR="003178E9" w:rsidRDefault="007437EB" w:rsidP="003178E9">
            <w:pPr>
              <w:pStyle w:val="ListParagraph"/>
              <w:numPr>
                <w:ilvl w:val="0"/>
                <w:numId w:val="4"/>
              </w:numPr>
              <w:contextualSpacing w:val="0"/>
              <w:rPr>
                <w:lang w:val="en-US"/>
              </w:rPr>
            </w:pPr>
            <w:r>
              <w:rPr>
                <w:lang w:val="en-US"/>
              </w:rPr>
              <w:t>F</w:t>
            </w:r>
            <w:r w:rsidR="003178E9">
              <w:rPr>
                <w:lang w:val="en-US"/>
              </w:rPr>
              <w:t xml:space="preserve">und </w:t>
            </w:r>
            <w:r>
              <w:rPr>
                <w:lang w:val="en-US"/>
              </w:rPr>
              <w:t xml:space="preserve">for </w:t>
            </w:r>
            <w:r w:rsidR="003178E9">
              <w:rPr>
                <w:lang w:val="en-US"/>
              </w:rPr>
              <w:t xml:space="preserve">a large-scale regional pilot of the Right to Buy </w:t>
            </w:r>
            <w:r>
              <w:rPr>
                <w:lang w:val="en-US"/>
              </w:rPr>
              <w:t>for housing association tenants</w:t>
            </w:r>
          </w:p>
          <w:p w:rsidR="00497FEA" w:rsidRPr="003178E9" w:rsidRDefault="003178E9" w:rsidP="007437EB">
            <w:pPr>
              <w:pStyle w:val="ListParagraph"/>
              <w:numPr>
                <w:ilvl w:val="0"/>
                <w:numId w:val="4"/>
              </w:numPr>
              <w:contextualSpacing w:val="0"/>
              <w:rPr>
                <w:lang w:val="en-US"/>
              </w:rPr>
            </w:pPr>
            <w:r>
              <w:rPr>
                <w:lang w:val="en-US"/>
              </w:rPr>
              <w:t>The government will publish a Housing Whi</w:t>
            </w:r>
            <w:r w:rsidR="007437EB">
              <w:rPr>
                <w:lang w:val="en-US"/>
              </w:rPr>
              <w:t xml:space="preserve">te Paper shortly, setting out </w:t>
            </w:r>
            <w:r>
              <w:rPr>
                <w:lang w:val="en-US"/>
              </w:rPr>
              <w:t>reform</w:t>
            </w:r>
            <w:r w:rsidR="007437EB">
              <w:rPr>
                <w:lang w:val="en-US"/>
              </w:rPr>
              <w:t>s aimed at increasing the supply of new housing</w:t>
            </w:r>
          </w:p>
        </w:tc>
      </w:tr>
      <w:tr w:rsidR="00221092" w:rsidRPr="00A64BA9" w:rsidTr="00A64BA9">
        <w:tc>
          <w:tcPr>
            <w:tcW w:w="1859" w:type="dxa"/>
          </w:tcPr>
          <w:p w:rsidR="00221092" w:rsidRPr="00A64BA9" w:rsidRDefault="00221092" w:rsidP="00221092">
            <w:pPr>
              <w:shd w:val="clear" w:color="auto" w:fill="FFFFFF"/>
              <w:spacing w:line="319" w:lineRule="atLeast"/>
              <w:rPr>
                <w:rFonts w:ascii="Calibri" w:eastAsia="Times New Roman" w:hAnsi="Calibri" w:cs="Calibri"/>
                <w:b/>
                <w:u w:val="single"/>
                <w:lang w:eastAsia="en-GB"/>
              </w:rPr>
            </w:pPr>
            <w:r w:rsidRPr="00A64BA9">
              <w:rPr>
                <w:rFonts w:ascii="Calibri" w:eastAsia="Times New Roman" w:hAnsi="Calibri" w:cs="Calibri"/>
                <w:b/>
                <w:u w:val="single"/>
                <w:lang w:eastAsia="en-GB"/>
              </w:rPr>
              <w:t>INFRASTRUCTURE</w:t>
            </w:r>
          </w:p>
        </w:tc>
        <w:tc>
          <w:tcPr>
            <w:tcW w:w="12850" w:type="dxa"/>
          </w:tcPr>
          <w:p w:rsidR="00212A48" w:rsidRPr="00212A48" w:rsidRDefault="00212A48" w:rsidP="00212A48">
            <w:pPr>
              <w:rPr>
                <w:i/>
                <w:lang w:val="en-US"/>
              </w:rPr>
            </w:pPr>
            <w:r w:rsidRPr="00212A48">
              <w:rPr>
                <w:i/>
                <w:lang w:val="en-US"/>
              </w:rPr>
              <w:t>Transport</w:t>
            </w:r>
          </w:p>
          <w:p w:rsidR="00212A48" w:rsidRPr="00212A48" w:rsidRDefault="00212A48" w:rsidP="00212A48">
            <w:pPr>
              <w:pStyle w:val="ListParagraph"/>
              <w:numPr>
                <w:ilvl w:val="0"/>
                <w:numId w:val="21"/>
              </w:numPr>
              <w:rPr>
                <w:lang w:val="en-US"/>
              </w:rPr>
            </w:pPr>
            <w:r w:rsidRPr="00212A48">
              <w:rPr>
                <w:lang w:val="en-US"/>
              </w:rPr>
              <w:t>£1.1bn in new investment by 2020-21 for English local transport networks</w:t>
            </w:r>
          </w:p>
          <w:p w:rsidR="00212A48" w:rsidRPr="00212A48" w:rsidRDefault="00212A48" w:rsidP="00212A48">
            <w:pPr>
              <w:pStyle w:val="ListParagraph"/>
              <w:numPr>
                <w:ilvl w:val="0"/>
                <w:numId w:val="21"/>
              </w:numPr>
              <w:rPr>
                <w:lang w:val="en-US"/>
              </w:rPr>
            </w:pPr>
            <w:r w:rsidRPr="00212A48">
              <w:rPr>
                <w:lang w:val="en-US"/>
              </w:rPr>
              <w:t>£220m in extra funds for traffic pinch points</w:t>
            </w:r>
          </w:p>
          <w:p w:rsidR="00212A48" w:rsidRPr="00212A48" w:rsidRDefault="00212A48" w:rsidP="00212A48">
            <w:pPr>
              <w:pStyle w:val="ListParagraph"/>
              <w:numPr>
                <w:ilvl w:val="0"/>
                <w:numId w:val="21"/>
              </w:numPr>
              <w:rPr>
                <w:lang w:val="en-US"/>
              </w:rPr>
            </w:pPr>
            <w:r w:rsidRPr="00212A48">
              <w:rPr>
                <w:lang w:val="en-US"/>
              </w:rPr>
              <w:lastRenderedPageBreak/>
              <w:t>£390m in new funds for ultra-low emissions vehicles (ULEVs) and connected autonomous vehicles (CAVs)</w:t>
            </w:r>
          </w:p>
          <w:p w:rsidR="00212A48" w:rsidRPr="00212A48" w:rsidRDefault="00212A48" w:rsidP="00212A48">
            <w:pPr>
              <w:pStyle w:val="ListParagraph"/>
              <w:numPr>
                <w:ilvl w:val="0"/>
                <w:numId w:val="21"/>
              </w:numPr>
              <w:rPr>
                <w:lang w:val="en-US"/>
              </w:rPr>
            </w:pPr>
            <w:r w:rsidRPr="00212A48">
              <w:rPr>
                <w:lang w:val="en-US"/>
              </w:rPr>
              <w:t>From today until end of March 2019, 100% first-year allowances to companies investing in charge-points for EVs</w:t>
            </w:r>
          </w:p>
          <w:p w:rsidR="00212A48" w:rsidRPr="00212A48" w:rsidRDefault="00212A48" w:rsidP="00212A48">
            <w:pPr>
              <w:pStyle w:val="ListParagraph"/>
              <w:numPr>
                <w:ilvl w:val="0"/>
                <w:numId w:val="21"/>
              </w:numPr>
              <w:rPr>
                <w:lang w:val="en-US"/>
              </w:rPr>
            </w:pPr>
            <w:r w:rsidRPr="00212A48">
              <w:rPr>
                <w:lang w:val="en-US"/>
              </w:rPr>
              <w:t xml:space="preserve">£450m between 2018-19 to 2020-21 on </w:t>
            </w:r>
            <w:proofErr w:type="spellStart"/>
            <w:r w:rsidRPr="00212A48">
              <w:rPr>
                <w:lang w:val="en-US"/>
              </w:rPr>
              <w:t>trialling</w:t>
            </w:r>
            <w:proofErr w:type="spellEnd"/>
            <w:r w:rsidRPr="00212A48">
              <w:rPr>
                <w:lang w:val="en-US"/>
              </w:rPr>
              <w:t xml:space="preserve"> digital signal technology on rail network</w:t>
            </w:r>
          </w:p>
          <w:p w:rsidR="00212A48" w:rsidRPr="00212A48" w:rsidRDefault="00212A48" w:rsidP="00212A48">
            <w:pPr>
              <w:pStyle w:val="ListParagraph"/>
              <w:numPr>
                <w:ilvl w:val="0"/>
                <w:numId w:val="21"/>
              </w:numPr>
              <w:rPr>
                <w:lang w:val="en-US"/>
              </w:rPr>
            </w:pPr>
            <w:r w:rsidRPr="00212A48">
              <w:rPr>
                <w:lang w:val="en-US"/>
              </w:rPr>
              <w:t>£80m to roll out smart rail ticketing</w:t>
            </w:r>
          </w:p>
          <w:p w:rsidR="00212A48" w:rsidRPr="00212A48" w:rsidRDefault="00212A48" w:rsidP="00212A48">
            <w:pPr>
              <w:pStyle w:val="ListParagraph"/>
              <w:numPr>
                <w:ilvl w:val="0"/>
                <w:numId w:val="21"/>
              </w:numPr>
              <w:rPr>
                <w:lang w:val="en-US"/>
              </w:rPr>
            </w:pPr>
            <w:r w:rsidRPr="00212A48">
              <w:rPr>
                <w:lang w:val="en-US"/>
              </w:rPr>
              <w:t>£5m for development funding for the Midlands Rail Hub</w:t>
            </w:r>
          </w:p>
          <w:p w:rsidR="00212A48" w:rsidRPr="00212A48" w:rsidRDefault="00212A48" w:rsidP="00212A48">
            <w:pPr>
              <w:pStyle w:val="ListParagraph"/>
              <w:numPr>
                <w:ilvl w:val="0"/>
                <w:numId w:val="21"/>
              </w:numPr>
              <w:rPr>
                <w:lang w:val="en-US"/>
              </w:rPr>
            </w:pPr>
            <w:r w:rsidRPr="00212A48">
              <w:rPr>
                <w:lang w:val="en-US"/>
              </w:rPr>
              <w:t>Local term decisions to be informed by National Infrastructure Commission (NIC) recommendations</w:t>
            </w:r>
          </w:p>
          <w:p w:rsidR="00212A48" w:rsidRPr="00212A48" w:rsidRDefault="00212A48" w:rsidP="00212A48">
            <w:pPr>
              <w:pStyle w:val="ListParagraph"/>
              <w:numPr>
                <w:ilvl w:val="0"/>
                <w:numId w:val="21"/>
              </w:numPr>
              <w:rPr>
                <w:lang w:val="en-US"/>
              </w:rPr>
            </w:pPr>
            <w:r w:rsidRPr="00212A48">
              <w:rPr>
                <w:lang w:val="en-US"/>
              </w:rPr>
              <w:t>Govt. investment in areas the NIC covers will rise to over 1% of GDP by 2020-21</w:t>
            </w:r>
          </w:p>
          <w:p w:rsidR="00212A48" w:rsidRPr="00212A48" w:rsidRDefault="00212A48" w:rsidP="00212A48">
            <w:pPr>
              <w:pStyle w:val="ListParagraph"/>
              <w:numPr>
                <w:ilvl w:val="0"/>
                <w:numId w:val="21"/>
              </w:numPr>
              <w:rPr>
                <w:lang w:val="en-US"/>
              </w:rPr>
            </w:pPr>
            <w:r w:rsidRPr="00212A48">
              <w:rPr>
                <w:lang w:val="en-US"/>
              </w:rPr>
              <w:t>£27m in development funding for Oxford-Cambridge expressway</w:t>
            </w:r>
          </w:p>
          <w:p w:rsidR="00212A48" w:rsidRPr="00212A48" w:rsidRDefault="00212A48" w:rsidP="00212A48">
            <w:pPr>
              <w:pStyle w:val="ListParagraph"/>
              <w:numPr>
                <w:ilvl w:val="0"/>
                <w:numId w:val="21"/>
              </w:numPr>
              <w:rPr>
                <w:lang w:val="en-US"/>
              </w:rPr>
            </w:pPr>
            <w:r w:rsidRPr="00212A48">
              <w:rPr>
                <w:lang w:val="en-US"/>
              </w:rPr>
              <w:t>£110m for construction of East-West Rail</w:t>
            </w:r>
          </w:p>
          <w:p w:rsidR="00212A48" w:rsidRDefault="00212A48" w:rsidP="007437EB">
            <w:pPr>
              <w:rPr>
                <w:i/>
                <w:lang w:val="en-US"/>
              </w:rPr>
            </w:pPr>
          </w:p>
          <w:p w:rsidR="007437EB" w:rsidRPr="007437EB" w:rsidRDefault="007437EB" w:rsidP="007437EB">
            <w:pPr>
              <w:rPr>
                <w:i/>
                <w:lang w:val="en-US"/>
              </w:rPr>
            </w:pPr>
            <w:r w:rsidRPr="007437EB">
              <w:rPr>
                <w:i/>
                <w:lang w:val="en-US"/>
              </w:rPr>
              <w:t>Digital</w:t>
            </w:r>
          </w:p>
          <w:p w:rsidR="007437EB" w:rsidRPr="007437EB" w:rsidRDefault="007437EB" w:rsidP="007437EB">
            <w:pPr>
              <w:pStyle w:val="ListParagraph"/>
              <w:numPr>
                <w:ilvl w:val="0"/>
                <w:numId w:val="13"/>
              </w:numPr>
              <w:contextualSpacing w:val="0"/>
              <w:rPr>
                <w:lang w:val="en-US"/>
              </w:rPr>
            </w:pPr>
            <w:r>
              <w:rPr>
                <w:lang w:val="en-US"/>
              </w:rPr>
              <w:t>£1 billion</w:t>
            </w:r>
            <w:r>
              <w:rPr>
                <w:color w:val="0B0C0C"/>
                <w:shd w:val="clear" w:color="auto" w:fill="FFFFFF"/>
                <w:lang w:val="en-US"/>
              </w:rPr>
              <w:t xml:space="preserve"> to support the private-sector roll out of more full-</w:t>
            </w:r>
            <w:proofErr w:type="spellStart"/>
            <w:r>
              <w:rPr>
                <w:color w:val="0B0C0C"/>
                <w:shd w:val="clear" w:color="auto" w:fill="FFFFFF"/>
                <w:lang w:val="en-US"/>
              </w:rPr>
              <w:t>fibre</w:t>
            </w:r>
            <w:proofErr w:type="spellEnd"/>
            <w:r>
              <w:rPr>
                <w:color w:val="0B0C0C"/>
                <w:shd w:val="clear" w:color="auto" w:fill="FFFFFF"/>
                <w:lang w:val="en-US"/>
              </w:rPr>
              <w:t xml:space="preserve"> broadband by 2020-21</w:t>
            </w:r>
          </w:p>
          <w:p w:rsidR="007437EB" w:rsidRDefault="007437EB" w:rsidP="007437EB">
            <w:pPr>
              <w:pStyle w:val="ListParagraph"/>
              <w:numPr>
                <w:ilvl w:val="0"/>
                <w:numId w:val="13"/>
              </w:numPr>
              <w:contextualSpacing w:val="0"/>
              <w:rPr>
                <w:lang w:val="en-US"/>
              </w:rPr>
            </w:pPr>
            <w:r>
              <w:rPr>
                <w:color w:val="0B0C0C"/>
                <w:shd w:val="clear" w:color="auto" w:fill="FFFFFF"/>
                <w:lang w:val="en-US"/>
              </w:rPr>
              <w:t>Funding to support trials of 5G mobile communications technology</w:t>
            </w:r>
          </w:p>
          <w:p w:rsidR="00221092" w:rsidRPr="007437EB" w:rsidRDefault="007437EB" w:rsidP="007437EB">
            <w:pPr>
              <w:pStyle w:val="ListParagraph"/>
              <w:numPr>
                <w:ilvl w:val="0"/>
                <w:numId w:val="13"/>
              </w:numPr>
              <w:contextualSpacing w:val="0"/>
              <w:rPr>
                <w:lang w:val="en-US"/>
              </w:rPr>
            </w:pPr>
            <w:r>
              <w:rPr>
                <w:color w:val="0B0C0C"/>
                <w:shd w:val="clear" w:color="auto" w:fill="FFFFFF"/>
                <w:lang w:val="en-US"/>
              </w:rPr>
              <w:t>From April 2017 a new 100% business rates relief for new full-</w:t>
            </w:r>
            <w:proofErr w:type="spellStart"/>
            <w:r>
              <w:rPr>
                <w:color w:val="0B0C0C"/>
                <w:shd w:val="clear" w:color="auto" w:fill="FFFFFF"/>
                <w:lang w:val="en-US"/>
              </w:rPr>
              <w:t>fibre</w:t>
            </w:r>
            <w:proofErr w:type="spellEnd"/>
            <w:r>
              <w:rPr>
                <w:color w:val="0B0C0C"/>
                <w:shd w:val="clear" w:color="auto" w:fill="FFFFFF"/>
                <w:lang w:val="en-US"/>
              </w:rPr>
              <w:t xml:space="preserve"> infrastructure for a 5 year period</w:t>
            </w:r>
          </w:p>
        </w:tc>
      </w:tr>
      <w:tr w:rsidR="00221092" w:rsidRPr="00A64BA9" w:rsidTr="00A64BA9">
        <w:tc>
          <w:tcPr>
            <w:tcW w:w="1859" w:type="dxa"/>
          </w:tcPr>
          <w:p w:rsidR="00221092" w:rsidRPr="00A64BA9" w:rsidRDefault="00221092" w:rsidP="00221092">
            <w:pPr>
              <w:shd w:val="clear" w:color="auto" w:fill="FFFFFF"/>
              <w:spacing w:line="319" w:lineRule="atLeast"/>
              <w:rPr>
                <w:rFonts w:ascii="Calibri" w:eastAsia="Times New Roman" w:hAnsi="Calibri" w:cs="Calibri"/>
                <w:b/>
                <w:u w:val="single"/>
                <w:lang w:eastAsia="en-GB"/>
              </w:rPr>
            </w:pPr>
            <w:r>
              <w:rPr>
                <w:rFonts w:ascii="Calibri" w:eastAsia="Times New Roman" w:hAnsi="Calibri" w:cs="Calibri"/>
                <w:b/>
                <w:u w:val="single"/>
                <w:lang w:eastAsia="en-GB"/>
              </w:rPr>
              <w:lastRenderedPageBreak/>
              <w:t xml:space="preserve">INNOVATION, RESEARCH AND DEVELOPMENT </w:t>
            </w:r>
          </w:p>
        </w:tc>
        <w:tc>
          <w:tcPr>
            <w:tcW w:w="12850" w:type="dxa"/>
          </w:tcPr>
          <w:p w:rsidR="009D24AD" w:rsidRDefault="009D24AD" w:rsidP="009D24AD">
            <w:pPr>
              <w:pStyle w:val="ListParagraph"/>
              <w:numPr>
                <w:ilvl w:val="0"/>
                <w:numId w:val="13"/>
              </w:numPr>
              <w:contextualSpacing w:val="0"/>
              <w:rPr>
                <w:lang w:val="en"/>
              </w:rPr>
            </w:pPr>
            <w:r>
              <w:rPr>
                <w:lang w:val="en"/>
              </w:rPr>
              <w:t>The new National Productivity Investment Fund (NPIF) will be targeted at four areas: transport, digital communications, R&amp;D and housing. It will provide for an extra £23 billion of spending between 2017-18 and 2021-22.</w:t>
            </w:r>
          </w:p>
          <w:p w:rsidR="009D24AD" w:rsidRDefault="009D24AD" w:rsidP="009D24AD">
            <w:pPr>
              <w:pStyle w:val="ListParagraph"/>
              <w:numPr>
                <w:ilvl w:val="0"/>
                <w:numId w:val="13"/>
              </w:numPr>
              <w:contextualSpacing w:val="0"/>
              <w:rPr>
                <w:lang w:val="en"/>
              </w:rPr>
            </w:pPr>
            <w:r>
              <w:rPr>
                <w:lang w:val="en"/>
              </w:rPr>
              <w:t>The NPIF will provide an additional £4.7 billion by 2020-21 in R&amp;D funding. This will fund the:</w:t>
            </w:r>
          </w:p>
          <w:p w:rsidR="009D24AD" w:rsidRDefault="009D24AD" w:rsidP="009D24AD">
            <w:pPr>
              <w:pStyle w:val="ListParagraph"/>
              <w:numPr>
                <w:ilvl w:val="1"/>
                <w:numId w:val="13"/>
              </w:numPr>
              <w:contextualSpacing w:val="0"/>
              <w:rPr>
                <w:lang w:val="en"/>
              </w:rPr>
            </w:pPr>
            <w:r>
              <w:rPr>
                <w:lang w:val="en"/>
              </w:rPr>
              <w:t>Industrial Strategy Challenge Fund – a new cross-disciplinary fund to support collaborations between business and the UK’s science base</w:t>
            </w:r>
          </w:p>
          <w:p w:rsidR="009D24AD" w:rsidRDefault="009D24AD" w:rsidP="009D24AD">
            <w:pPr>
              <w:pStyle w:val="ListParagraph"/>
              <w:numPr>
                <w:ilvl w:val="1"/>
                <w:numId w:val="13"/>
              </w:numPr>
              <w:contextualSpacing w:val="0"/>
              <w:rPr>
                <w:lang w:val="en"/>
              </w:rPr>
            </w:pPr>
            <w:r>
              <w:rPr>
                <w:lang w:val="en"/>
              </w:rPr>
              <w:t xml:space="preserve">Innovation, applied science and research – additional funding will be allocated to increase research capacity and business innovation, to further support the UK’s world-leading research base </w:t>
            </w:r>
          </w:p>
          <w:p w:rsidR="00221092" w:rsidRPr="009D24AD" w:rsidRDefault="009D24AD" w:rsidP="009D24AD">
            <w:pPr>
              <w:pStyle w:val="ListParagraph"/>
              <w:numPr>
                <w:ilvl w:val="1"/>
                <w:numId w:val="13"/>
              </w:numPr>
              <w:contextualSpacing w:val="0"/>
              <w:rPr>
                <w:lang w:val="en"/>
              </w:rPr>
            </w:pPr>
            <w:r>
              <w:rPr>
                <w:lang w:val="en"/>
              </w:rPr>
              <w:t>R&amp;D tax environment – The government will review the tax environment for R&amp;D to look at ways to build on the introduction of the ‘above the line’ R&amp;D tax credit.</w:t>
            </w:r>
          </w:p>
        </w:tc>
      </w:tr>
      <w:tr w:rsidR="00221092" w:rsidRPr="00A64BA9" w:rsidTr="00A64BA9">
        <w:tc>
          <w:tcPr>
            <w:tcW w:w="1859" w:type="dxa"/>
          </w:tcPr>
          <w:p w:rsidR="00221092" w:rsidRPr="00A64BA9" w:rsidRDefault="009D24AD" w:rsidP="00497FEA">
            <w:pPr>
              <w:shd w:val="clear" w:color="auto" w:fill="FFFFFF"/>
              <w:spacing w:line="319" w:lineRule="atLeast"/>
              <w:rPr>
                <w:rFonts w:ascii="Calibri" w:eastAsia="Times New Roman" w:hAnsi="Calibri" w:cs="Calibri"/>
                <w:b/>
                <w:u w:val="single"/>
                <w:lang w:eastAsia="en-GB"/>
              </w:rPr>
            </w:pPr>
            <w:r>
              <w:rPr>
                <w:rFonts w:ascii="Calibri" w:eastAsia="Times New Roman" w:hAnsi="Calibri" w:cs="Calibri"/>
                <w:b/>
                <w:u w:val="single"/>
                <w:lang w:eastAsia="en-GB"/>
              </w:rPr>
              <w:t xml:space="preserve">INTERNATIONAL TRADE AND INVESTMENT </w:t>
            </w:r>
          </w:p>
        </w:tc>
        <w:tc>
          <w:tcPr>
            <w:tcW w:w="12850" w:type="dxa"/>
          </w:tcPr>
          <w:p w:rsidR="009D24AD" w:rsidRDefault="009D24AD" w:rsidP="009D24AD">
            <w:pPr>
              <w:pStyle w:val="ListParagraph"/>
              <w:numPr>
                <w:ilvl w:val="0"/>
                <w:numId w:val="13"/>
              </w:numPr>
              <w:contextualSpacing w:val="0"/>
              <w:rPr>
                <w:lang w:val="en"/>
              </w:rPr>
            </w:pPr>
            <w:r>
              <w:rPr>
                <w:lang w:val="en"/>
              </w:rPr>
              <w:t xml:space="preserve">The government will </w:t>
            </w:r>
            <w:r w:rsidR="0038637E">
              <w:rPr>
                <w:lang w:val="en"/>
              </w:rPr>
              <w:t>expand support for trade provided by</w:t>
            </w:r>
            <w:r>
              <w:rPr>
                <w:lang w:val="en"/>
              </w:rPr>
              <w:t xml:space="preserve"> UK Export Finance</w:t>
            </w:r>
            <w:r w:rsidR="0038637E">
              <w:rPr>
                <w:lang w:val="en"/>
              </w:rPr>
              <w:t xml:space="preserve"> (UKEF)</w:t>
            </w:r>
            <w:r>
              <w:rPr>
                <w:lang w:val="en"/>
              </w:rPr>
              <w:t xml:space="preserve"> by:</w:t>
            </w:r>
          </w:p>
          <w:p w:rsidR="009D24AD" w:rsidRDefault="009D24AD" w:rsidP="0038637E">
            <w:pPr>
              <w:pStyle w:val="ListParagraph"/>
              <w:numPr>
                <w:ilvl w:val="1"/>
                <w:numId w:val="13"/>
              </w:numPr>
              <w:contextualSpacing w:val="0"/>
              <w:rPr>
                <w:lang w:val="en"/>
              </w:rPr>
            </w:pPr>
            <w:r>
              <w:rPr>
                <w:lang w:val="en"/>
              </w:rPr>
              <w:t>Doubling its total risk appetite to £5 billion</w:t>
            </w:r>
          </w:p>
          <w:p w:rsidR="00221092" w:rsidRPr="0038637E" w:rsidRDefault="009D24AD" w:rsidP="0038637E">
            <w:pPr>
              <w:pStyle w:val="ListParagraph"/>
              <w:numPr>
                <w:ilvl w:val="1"/>
                <w:numId w:val="13"/>
              </w:numPr>
              <w:contextualSpacing w:val="0"/>
              <w:rPr>
                <w:lang w:val="en"/>
              </w:rPr>
            </w:pPr>
            <w:r>
              <w:rPr>
                <w:lang w:val="en"/>
              </w:rPr>
              <w:t>Increasing the number of pre-approved local currencies in which UKEF can offer support from 10 to 40, enabling more overseas buyers of UK exports to pay in their own currency</w:t>
            </w:r>
          </w:p>
        </w:tc>
      </w:tr>
      <w:tr w:rsidR="009D24AD" w:rsidRPr="00A64BA9" w:rsidTr="00A64BA9">
        <w:tc>
          <w:tcPr>
            <w:tcW w:w="1859" w:type="dxa"/>
          </w:tcPr>
          <w:p w:rsidR="009D24AD" w:rsidRDefault="009D24AD" w:rsidP="00497FEA">
            <w:pPr>
              <w:shd w:val="clear" w:color="auto" w:fill="FFFFFF"/>
              <w:spacing w:line="319" w:lineRule="atLeast"/>
              <w:rPr>
                <w:b/>
                <w:bCs/>
                <w:iCs/>
                <w:u w:val="single"/>
              </w:rPr>
            </w:pPr>
            <w:r>
              <w:rPr>
                <w:b/>
                <w:bCs/>
                <w:iCs/>
                <w:u w:val="single"/>
              </w:rPr>
              <w:t xml:space="preserve">LABOUR MARKET AND </w:t>
            </w:r>
            <w:r w:rsidRPr="00A64BA9">
              <w:rPr>
                <w:b/>
                <w:bCs/>
                <w:iCs/>
                <w:u w:val="single"/>
              </w:rPr>
              <w:t>SKILLS</w:t>
            </w:r>
          </w:p>
        </w:tc>
        <w:tc>
          <w:tcPr>
            <w:tcW w:w="12850" w:type="dxa"/>
          </w:tcPr>
          <w:p w:rsidR="00212A48" w:rsidRPr="00212A48" w:rsidRDefault="00212A48" w:rsidP="00212A48">
            <w:pPr>
              <w:rPr>
                <w:bCs/>
                <w:i/>
              </w:rPr>
            </w:pPr>
            <w:r w:rsidRPr="00212A48">
              <w:rPr>
                <w:bCs/>
                <w:i/>
              </w:rPr>
              <w:t>National Living Wage</w:t>
            </w:r>
          </w:p>
          <w:p w:rsidR="0022788E" w:rsidRPr="0022788E" w:rsidRDefault="0022788E" w:rsidP="00203B03">
            <w:pPr>
              <w:pStyle w:val="ListParagraph"/>
              <w:numPr>
                <w:ilvl w:val="0"/>
                <w:numId w:val="25"/>
              </w:numPr>
              <w:contextualSpacing w:val="0"/>
            </w:pPr>
            <w:r w:rsidRPr="0022788E">
              <w:rPr>
                <w:color w:val="0B0C0C"/>
                <w:shd w:val="clear" w:color="auto" w:fill="FFFFFF"/>
                <w:lang w:val="en-US"/>
              </w:rPr>
              <w:t>The National Living Wage for those aged 25 and over will increase by 4.2% from £7.20 to £7.50 from April 2017</w:t>
            </w:r>
          </w:p>
          <w:p w:rsidR="0022788E" w:rsidRDefault="0022788E" w:rsidP="00212A48"/>
          <w:p w:rsidR="00212A48" w:rsidRPr="00212A48" w:rsidRDefault="00212A48" w:rsidP="00212A48">
            <w:pPr>
              <w:rPr>
                <w:bCs/>
                <w:i/>
              </w:rPr>
            </w:pPr>
            <w:r w:rsidRPr="00212A48">
              <w:rPr>
                <w:bCs/>
                <w:i/>
              </w:rPr>
              <w:t>National Minimum Wage</w:t>
            </w:r>
          </w:p>
          <w:p w:rsidR="0022788E" w:rsidRDefault="0022788E" w:rsidP="0022788E">
            <w:pPr>
              <w:pStyle w:val="ListParagraph"/>
              <w:numPr>
                <w:ilvl w:val="0"/>
                <w:numId w:val="25"/>
              </w:numPr>
              <w:shd w:val="clear" w:color="auto" w:fill="FFFFFF"/>
              <w:spacing w:before="150" w:after="150"/>
              <w:contextualSpacing w:val="0"/>
              <w:rPr>
                <w:color w:val="0B0C0C"/>
                <w:lang w:val="en-US"/>
              </w:rPr>
            </w:pPr>
            <w:r>
              <w:rPr>
                <w:color w:val="0B0C0C"/>
                <w:lang w:val="en-US"/>
              </w:rPr>
              <w:lastRenderedPageBreak/>
              <w:t>The National Minimum Wage will also increase:</w:t>
            </w:r>
          </w:p>
          <w:p w:rsidR="0022788E" w:rsidRDefault="0022788E" w:rsidP="0022788E">
            <w:pPr>
              <w:numPr>
                <w:ilvl w:val="0"/>
                <w:numId w:val="26"/>
              </w:numPr>
              <w:shd w:val="clear" w:color="auto" w:fill="FFFFFF"/>
              <w:rPr>
                <w:color w:val="0B0C0C"/>
                <w:lang w:val="en-US"/>
              </w:rPr>
            </w:pPr>
            <w:r>
              <w:rPr>
                <w:color w:val="0B0C0C"/>
                <w:lang w:val="en-US"/>
              </w:rPr>
              <w:t>for 21 to 24 year olds – from £6.95 per hour to £7.05</w:t>
            </w:r>
          </w:p>
          <w:p w:rsidR="0022788E" w:rsidRDefault="0022788E" w:rsidP="0022788E">
            <w:pPr>
              <w:numPr>
                <w:ilvl w:val="0"/>
                <w:numId w:val="26"/>
              </w:numPr>
              <w:shd w:val="clear" w:color="auto" w:fill="FFFFFF"/>
              <w:rPr>
                <w:color w:val="0B0C0C"/>
                <w:lang w:val="en-US"/>
              </w:rPr>
            </w:pPr>
            <w:r>
              <w:rPr>
                <w:color w:val="0B0C0C"/>
                <w:lang w:val="en-US"/>
              </w:rPr>
              <w:t>for 18 to 20 year olds – from £5.55 per hour to £5.60</w:t>
            </w:r>
          </w:p>
          <w:p w:rsidR="0022788E" w:rsidRDefault="0022788E" w:rsidP="0022788E">
            <w:pPr>
              <w:numPr>
                <w:ilvl w:val="0"/>
                <w:numId w:val="26"/>
              </w:numPr>
              <w:shd w:val="clear" w:color="auto" w:fill="FFFFFF"/>
              <w:rPr>
                <w:color w:val="0B0C0C"/>
                <w:lang w:val="en-US"/>
              </w:rPr>
            </w:pPr>
            <w:r>
              <w:rPr>
                <w:color w:val="0B0C0C"/>
                <w:lang w:val="en-US"/>
              </w:rPr>
              <w:t>for 16 to 17 year olds – from £4.00 per hour to £4.05</w:t>
            </w:r>
          </w:p>
          <w:p w:rsidR="0022788E" w:rsidRPr="00212A48" w:rsidRDefault="0022788E" w:rsidP="0022788E">
            <w:pPr>
              <w:numPr>
                <w:ilvl w:val="0"/>
                <w:numId w:val="26"/>
              </w:numPr>
              <w:shd w:val="clear" w:color="auto" w:fill="FFFFFF"/>
              <w:rPr>
                <w:color w:val="0B0C0C"/>
                <w:lang w:val="en-US"/>
              </w:rPr>
            </w:pPr>
            <w:r>
              <w:rPr>
                <w:color w:val="0B0C0C"/>
                <w:lang w:val="en-US"/>
              </w:rPr>
              <w:t>for apprentices – from £3.40 per hour to £3.50</w:t>
            </w:r>
          </w:p>
        </w:tc>
      </w:tr>
      <w:tr w:rsidR="00A64BA9" w:rsidRPr="00A64BA9" w:rsidTr="00A64BA9">
        <w:tc>
          <w:tcPr>
            <w:tcW w:w="1859" w:type="dxa"/>
          </w:tcPr>
          <w:p w:rsidR="00A64BA9" w:rsidRPr="00221092" w:rsidRDefault="00A64BA9" w:rsidP="00221092">
            <w:pPr>
              <w:shd w:val="clear" w:color="auto" w:fill="FFFFFF"/>
              <w:spacing w:line="319" w:lineRule="atLeast"/>
              <w:rPr>
                <w:rFonts w:ascii="Calibri" w:eastAsia="Times New Roman" w:hAnsi="Calibri" w:cs="Calibri"/>
                <w:b/>
                <w:u w:val="single"/>
                <w:lang w:eastAsia="en-GB"/>
              </w:rPr>
            </w:pPr>
            <w:r w:rsidRPr="00A64BA9">
              <w:rPr>
                <w:rFonts w:ascii="Calibri" w:eastAsia="Times New Roman" w:hAnsi="Calibri" w:cs="Calibri"/>
                <w:b/>
                <w:u w:val="single"/>
                <w:lang w:eastAsia="en-GB"/>
              </w:rPr>
              <w:lastRenderedPageBreak/>
              <w:t>LOCAL GROWTH AND DEVOLUTION</w:t>
            </w:r>
          </w:p>
        </w:tc>
        <w:tc>
          <w:tcPr>
            <w:tcW w:w="12850" w:type="dxa"/>
          </w:tcPr>
          <w:p w:rsidR="003178E9" w:rsidRPr="003178E9" w:rsidRDefault="003178E9" w:rsidP="003178E9">
            <w:pPr>
              <w:pStyle w:val="ListParagraph"/>
              <w:numPr>
                <w:ilvl w:val="0"/>
                <w:numId w:val="13"/>
              </w:numPr>
              <w:contextualSpacing w:val="0"/>
              <w:rPr>
                <w:lang w:val="en"/>
              </w:rPr>
            </w:pPr>
            <w:r w:rsidRPr="003178E9">
              <w:rPr>
                <w:lang w:val="en"/>
              </w:rPr>
              <w:t xml:space="preserve">Confirmation of funding allocations (£1.8 billion) for </w:t>
            </w:r>
            <w:r>
              <w:rPr>
                <w:lang w:val="en"/>
              </w:rPr>
              <w:t xml:space="preserve">LEP areas in </w:t>
            </w:r>
            <w:r w:rsidRPr="003178E9">
              <w:rPr>
                <w:lang w:val="en"/>
              </w:rPr>
              <w:t>England through the third round of Growth Deals</w:t>
            </w:r>
            <w:r>
              <w:rPr>
                <w:lang w:val="en"/>
              </w:rPr>
              <w:t xml:space="preserve"> (details for individual LEPs to follow in coming months)</w:t>
            </w:r>
            <w:r w:rsidRPr="003178E9">
              <w:rPr>
                <w:lang w:val="en"/>
              </w:rPr>
              <w:t>:</w:t>
            </w:r>
          </w:p>
          <w:p w:rsidR="003178E9" w:rsidRPr="003178E9" w:rsidRDefault="003178E9" w:rsidP="003178E9">
            <w:pPr>
              <w:pStyle w:val="ListParagraph"/>
              <w:numPr>
                <w:ilvl w:val="1"/>
                <w:numId w:val="13"/>
              </w:numPr>
              <w:contextualSpacing w:val="0"/>
              <w:rPr>
                <w:lang w:val="en"/>
              </w:rPr>
            </w:pPr>
            <w:r>
              <w:rPr>
                <w:lang w:val="en"/>
              </w:rPr>
              <w:t>£556 million</w:t>
            </w:r>
            <w:r>
              <w:t xml:space="preserve"> for the North of England</w:t>
            </w:r>
          </w:p>
          <w:p w:rsidR="003178E9" w:rsidRPr="003178E9" w:rsidRDefault="003178E9" w:rsidP="003178E9">
            <w:pPr>
              <w:pStyle w:val="ListParagraph"/>
              <w:numPr>
                <w:ilvl w:val="1"/>
                <w:numId w:val="13"/>
              </w:numPr>
              <w:contextualSpacing w:val="0"/>
              <w:rPr>
                <w:lang w:val="en"/>
              </w:rPr>
            </w:pPr>
            <w:r>
              <w:t>£392 million for the Midlands</w:t>
            </w:r>
          </w:p>
          <w:p w:rsidR="003178E9" w:rsidRPr="003178E9" w:rsidRDefault="003178E9" w:rsidP="003178E9">
            <w:pPr>
              <w:pStyle w:val="ListParagraph"/>
              <w:numPr>
                <w:ilvl w:val="1"/>
                <w:numId w:val="13"/>
              </w:numPr>
              <w:contextualSpacing w:val="0"/>
              <w:rPr>
                <w:lang w:val="en"/>
              </w:rPr>
            </w:pPr>
            <w:r>
              <w:t>£151 million for the East of England</w:t>
            </w:r>
          </w:p>
          <w:p w:rsidR="00552F7B" w:rsidRPr="00552F7B" w:rsidRDefault="003178E9" w:rsidP="00552F7B">
            <w:pPr>
              <w:pStyle w:val="ListParagraph"/>
              <w:numPr>
                <w:ilvl w:val="1"/>
                <w:numId w:val="13"/>
              </w:numPr>
              <w:contextualSpacing w:val="0"/>
              <w:rPr>
                <w:lang w:val="en"/>
              </w:rPr>
            </w:pPr>
            <w:r>
              <w:t xml:space="preserve">£492 million to London and the </w:t>
            </w:r>
            <w:r w:rsidR="00552F7B">
              <w:t>S</w:t>
            </w:r>
            <w:r>
              <w:t xml:space="preserve">outh </w:t>
            </w:r>
            <w:r w:rsidR="00552F7B">
              <w:t>E</w:t>
            </w:r>
            <w:r>
              <w:t>ast</w:t>
            </w:r>
          </w:p>
          <w:p w:rsidR="0022788E" w:rsidRPr="00552F7B" w:rsidRDefault="003178E9" w:rsidP="00552F7B">
            <w:pPr>
              <w:pStyle w:val="ListParagraph"/>
              <w:numPr>
                <w:ilvl w:val="1"/>
                <w:numId w:val="13"/>
              </w:numPr>
              <w:contextualSpacing w:val="0"/>
              <w:rPr>
                <w:lang w:val="en"/>
              </w:rPr>
            </w:pPr>
            <w:r>
              <w:t xml:space="preserve">£191 million to the </w:t>
            </w:r>
            <w:r w:rsidR="00552F7B">
              <w:t>S</w:t>
            </w:r>
            <w:r>
              <w:t xml:space="preserve">outh west </w:t>
            </w:r>
          </w:p>
          <w:p w:rsidR="00552F7B" w:rsidRPr="00552F7B" w:rsidRDefault="00552F7B" w:rsidP="00552F7B">
            <w:pPr>
              <w:pStyle w:val="ListParagraph"/>
              <w:ind w:left="1440"/>
              <w:contextualSpacing w:val="0"/>
              <w:rPr>
                <w:lang w:val="en"/>
              </w:rPr>
            </w:pPr>
          </w:p>
          <w:p w:rsidR="00212A48" w:rsidRDefault="00212A48" w:rsidP="00212A48">
            <w:pPr>
              <w:pStyle w:val="ListParagraph"/>
              <w:numPr>
                <w:ilvl w:val="0"/>
                <w:numId w:val="28"/>
              </w:numPr>
              <w:rPr>
                <w:lang w:val="en-US"/>
              </w:rPr>
            </w:pPr>
            <w:r w:rsidRPr="00212A48">
              <w:rPr>
                <w:lang w:val="en-US"/>
              </w:rPr>
              <w:t>£3.15 to Greater London Authority by 2020-21 for affordable housing, and devolution of adult education budget from 2019-20</w:t>
            </w:r>
          </w:p>
          <w:p w:rsidR="00212A48" w:rsidRDefault="00212A48" w:rsidP="00212A48">
            <w:pPr>
              <w:pStyle w:val="ListParagraph"/>
              <w:numPr>
                <w:ilvl w:val="0"/>
                <w:numId w:val="28"/>
              </w:numPr>
              <w:rPr>
                <w:lang w:val="en-US"/>
              </w:rPr>
            </w:pPr>
            <w:r>
              <w:rPr>
                <w:lang w:val="en-US"/>
              </w:rPr>
              <w:t xml:space="preserve">Productivity </w:t>
            </w:r>
            <w:r w:rsidRPr="00212A48">
              <w:rPr>
                <w:lang w:val="en-US"/>
              </w:rPr>
              <w:t>Strategy for th</w:t>
            </w:r>
            <w:r>
              <w:rPr>
                <w:lang w:val="en-US"/>
              </w:rPr>
              <w:t>e Northern Powerhouse published</w:t>
            </w:r>
          </w:p>
          <w:p w:rsidR="00212A48" w:rsidRDefault="00212A48" w:rsidP="00212A48">
            <w:pPr>
              <w:pStyle w:val="ListParagraph"/>
              <w:numPr>
                <w:ilvl w:val="0"/>
                <w:numId w:val="28"/>
              </w:numPr>
              <w:rPr>
                <w:lang w:val="en-US"/>
              </w:rPr>
            </w:pPr>
            <w:r w:rsidRPr="00212A48">
              <w:rPr>
                <w:lang w:val="en-US"/>
              </w:rPr>
              <w:t>Confirmation of the Northern Powerhouse Investment Fund and Midlands Engine Investment Fund, with first investments by British Business Bank in early 2017</w:t>
            </w:r>
          </w:p>
          <w:p w:rsidR="00212A48" w:rsidRDefault="00212A48" w:rsidP="00212A48">
            <w:pPr>
              <w:pStyle w:val="ListParagraph"/>
              <w:numPr>
                <w:ilvl w:val="0"/>
                <w:numId w:val="28"/>
              </w:numPr>
              <w:rPr>
                <w:lang w:val="en-US"/>
              </w:rPr>
            </w:pPr>
            <w:r w:rsidRPr="00212A48">
              <w:rPr>
                <w:lang w:val="en-US"/>
              </w:rPr>
              <w:t xml:space="preserve">Announcement of </w:t>
            </w:r>
            <w:r>
              <w:rPr>
                <w:lang w:val="en-US"/>
              </w:rPr>
              <w:t>a C</w:t>
            </w:r>
            <w:r w:rsidRPr="00212A48">
              <w:rPr>
                <w:lang w:val="en-US"/>
              </w:rPr>
              <w:t xml:space="preserve">ity </w:t>
            </w:r>
            <w:r>
              <w:rPr>
                <w:lang w:val="en-US"/>
              </w:rPr>
              <w:t>D</w:t>
            </w:r>
            <w:r w:rsidRPr="00212A48">
              <w:rPr>
                <w:lang w:val="en-US"/>
              </w:rPr>
              <w:t xml:space="preserve">eal for </w:t>
            </w:r>
            <w:proofErr w:type="spellStart"/>
            <w:r w:rsidRPr="00212A48">
              <w:rPr>
                <w:lang w:val="en-US"/>
              </w:rPr>
              <w:t>Stirling</w:t>
            </w:r>
            <w:proofErr w:type="spellEnd"/>
            <w:r w:rsidRPr="00212A48">
              <w:rPr>
                <w:lang w:val="en-US"/>
              </w:rPr>
              <w:t>, and funding for city deals in Aberdeen and Inverness</w:t>
            </w:r>
          </w:p>
          <w:p w:rsidR="00212A48" w:rsidRDefault="00212A48" w:rsidP="00212A48">
            <w:pPr>
              <w:pStyle w:val="ListParagraph"/>
              <w:numPr>
                <w:ilvl w:val="0"/>
                <w:numId w:val="28"/>
              </w:numPr>
              <w:rPr>
                <w:lang w:val="en-US"/>
              </w:rPr>
            </w:pPr>
            <w:r w:rsidRPr="00212A48">
              <w:rPr>
                <w:lang w:val="en-US"/>
              </w:rPr>
              <w:t xml:space="preserve">Continued support the implementation of the £1.2bn </w:t>
            </w:r>
            <w:r>
              <w:rPr>
                <w:lang w:val="en-US"/>
              </w:rPr>
              <w:t>C</w:t>
            </w:r>
            <w:r w:rsidRPr="00212A48">
              <w:rPr>
                <w:lang w:val="en-US"/>
              </w:rPr>
              <w:t xml:space="preserve">ity </w:t>
            </w:r>
            <w:r>
              <w:rPr>
                <w:lang w:val="en-US"/>
              </w:rPr>
              <w:t>D</w:t>
            </w:r>
            <w:r w:rsidRPr="00212A48">
              <w:rPr>
                <w:lang w:val="en-US"/>
              </w:rPr>
              <w:t>eal for Cardiff Capital Region</w:t>
            </w:r>
          </w:p>
          <w:p w:rsidR="00212A48" w:rsidRDefault="00212A48" w:rsidP="00212A48">
            <w:pPr>
              <w:pStyle w:val="ListParagraph"/>
              <w:numPr>
                <w:ilvl w:val="0"/>
                <w:numId w:val="28"/>
              </w:numPr>
              <w:rPr>
                <w:lang w:val="en-US"/>
              </w:rPr>
            </w:pPr>
            <w:r w:rsidRPr="00212A48">
              <w:rPr>
                <w:lang w:val="en-US"/>
              </w:rPr>
              <w:t>Continued support for introduction of Northern Ireland rate of Corporation Tax</w:t>
            </w:r>
          </w:p>
          <w:p w:rsidR="00212A48" w:rsidRPr="00212A48" w:rsidRDefault="00212A48" w:rsidP="00212A48">
            <w:pPr>
              <w:pStyle w:val="ListParagraph"/>
              <w:numPr>
                <w:ilvl w:val="0"/>
                <w:numId w:val="28"/>
              </w:numPr>
              <w:rPr>
                <w:lang w:val="en-US"/>
              </w:rPr>
            </w:pPr>
            <w:r>
              <w:t>Confirmation that government will consult on lending local authorities up to £1 billion at a new local infrastructure rate of gilts +</w:t>
            </w:r>
          </w:p>
          <w:p w:rsidR="00212A48" w:rsidRPr="00212A48" w:rsidRDefault="00212A48" w:rsidP="00212A48">
            <w:pPr>
              <w:pStyle w:val="ListParagraph"/>
              <w:ind w:left="360"/>
              <w:rPr>
                <w:lang w:val="en-US"/>
              </w:rPr>
            </w:pPr>
            <w:r>
              <w:t>60 basis points for three years to support infrastructure projects that are high value for money</w:t>
            </w:r>
          </w:p>
          <w:p w:rsidR="0022788E" w:rsidRPr="00212A48" w:rsidRDefault="00212A48" w:rsidP="00212A48">
            <w:pPr>
              <w:pStyle w:val="ListParagraph"/>
              <w:numPr>
                <w:ilvl w:val="0"/>
                <w:numId w:val="28"/>
              </w:numPr>
              <w:rPr>
                <w:lang w:val="en-US"/>
              </w:rPr>
            </w:pPr>
            <w:r w:rsidRPr="00212A48">
              <w:rPr>
                <w:lang w:val="en-US"/>
              </w:rPr>
              <w:t>Regional review for APD</w:t>
            </w:r>
          </w:p>
        </w:tc>
      </w:tr>
      <w:tr w:rsidR="00A64BA9" w:rsidRPr="00A64BA9" w:rsidTr="00A64BA9">
        <w:tc>
          <w:tcPr>
            <w:tcW w:w="1859" w:type="dxa"/>
          </w:tcPr>
          <w:p w:rsidR="00A64BA9" w:rsidRPr="00A64BA9" w:rsidRDefault="00A64BA9" w:rsidP="000108C9">
            <w:pPr>
              <w:shd w:val="clear" w:color="auto" w:fill="FFFFFF"/>
              <w:spacing w:line="319" w:lineRule="atLeast"/>
              <w:rPr>
                <w:rFonts w:ascii="Calibri" w:eastAsia="Times New Roman" w:hAnsi="Calibri" w:cs="Calibri"/>
                <w:b/>
                <w:u w:val="single"/>
                <w:lang w:eastAsia="en-GB"/>
              </w:rPr>
            </w:pPr>
            <w:r w:rsidRPr="00A64BA9">
              <w:rPr>
                <w:rFonts w:ascii="Calibri" w:eastAsia="Times New Roman" w:hAnsi="Calibri" w:cs="Calibri"/>
                <w:b/>
                <w:u w:val="single"/>
                <w:lang w:eastAsia="en-GB"/>
              </w:rPr>
              <w:t xml:space="preserve">PENSIONS </w:t>
            </w:r>
          </w:p>
        </w:tc>
        <w:tc>
          <w:tcPr>
            <w:tcW w:w="12850" w:type="dxa"/>
          </w:tcPr>
          <w:p w:rsidR="00A7173B" w:rsidRDefault="00A7173B" w:rsidP="00A7173B">
            <w:pPr>
              <w:pStyle w:val="ListParagraph"/>
              <w:numPr>
                <w:ilvl w:val="0"/>
                <w:numId w:val="2"/>
              </w:numPr>
            </w:pPr>
            <w:r>
              <w:t xml:space="preserve">The Money Purchase Annual Allowance will be reduced to £4,000 from April 2017. </w:t>
            </w:r>
          </w:p>
          <w:p w:rsidR="00A7173B" w:rsidRDefault="00A7173B" w:rsidP="00A7173B">
            <w:pPr>
              <w:pStyle w:val="ListParagraph"/>
              <w:numPr>
                <w:ilvl w:val="0"/>
                <w:numId w:val="2"/>
              </w:numPr>
            </w:pPr>
            <w:r>
              <w:t xml:space="preserve">The tax treatment of foreign pensions will be more closely aligned with the UK’s domestic pension tax regime by bringing foreign pensions and lump sums fully into tax for UK residents, to the same extent as domestic ones: </w:t>
            </w:r>
          </w:p>
          <w:p w:rsidR="00A7173B" w:rsidRDefault="00A7173B" w:rsidP="00A7173B">
            <w:pPr>
              <w:pStyle w:val="ListParagraph"/>
              <w:numPr>
                <w:ilvl w:val="1"/>
                <w:numId w:val="2"/>
              </w:numPr>
            </w:pPr>
            <w:r>
              <w:t>The government will also close specialist pension schemes for those employed abroad (“section 615” schemes) to new saving</w:t>
            </w:r>
          </w:p>
          <w:p w:rsidR="00A7173B" w:rsidRDefault="00A7173B" w:rsidP="00A7173B">
            <w:pPr>
              <w:pStyle w:val="ListParagraph"/>
              <w:numPr>
                <w:ilvl w:val="1"/>
                <w:numId w:val="2"/>
              </w:numPr>
            </w:pPr>
            <w:r>
              <w:t>Extend from 5 to 10 years the taxing rights over recently emigrated non-UK residents’ foreign lump sum payments from funds that have had UK tax relief</w:t>
            </w:r>
          </w:p>
          <w:p w:rsidR="00A7173B" w:rsidRDefault="00A7173B" w:rsidP="00A7173B">
            <w:pPr>
              <w:pStyle w:val="ListParagraph"/>
              <w:numPr>
                <w:ilvl w:val="1"/>
                <w:numId w:val="2"/>
              </w:numPr>
            </w:pPr>
            <w:r>
              <w:t xml:space="preserve">Align the tax treatment of funds transferred between registered pension schemes </w:t>
            </w:r>
          </w:p>
          <w:p w:rsidR="00A64BA9" w:rsidRPr="00A64BA9" w:rsidRDefault="00A7173B" w:rsidP="00A7173B">
            <w:pPr>
              <w:pStyle w:val="ListParagraph"/>
              <w:numPr>
                <w:ilvl w:val="1"/>
                <w:numId w:val="2"/>
              </w:numPr>
            </w:pPr>
            <w:r>
              <w:t>Update the eligibility criteria for foreign schemes to qualify as overseas pensions schemes for tax purposes</w:t>
            </w:r>
          </w:p>
        </w:tc>
      </w:tr>
      <w:tr w:rsidR="00A64BA9" w:rsidRPr="00A64BA9" w:rsidTr="00A64BA9">
        <w:tc>
          <w:tcPr>
            <w:tcW w:w="1859" w:type="dxa"/>
          </w:tcPr>
          <w:p w:rsidR="00A64BA9" w:rsidRPr="00A64BA9" w:rsidRDefault="00A64BA9" w:rsidP="00985117">
            <w:pPr>
              <w:shd w:val="clear" w:color="auto" w:fill="FFFFFF"/>
              <w:spacing w:line="319" w:lineRule="atLeast"/>
              <w:rPr>
                <w:rFonts w:ascii="Calibri" w:eastAsia="Times New Roman" w:hAnsi="Calibri" w:cs="Calibri"/>
                <w:b/>
                <w:u w:val="single"/>
                <w:lang w:eastAsia="en-GB"/>
              </w:rPr>
            </w:pPr>
            <w:r w:rsidRPr="00A64BA9">
              <w:rPr>
                <w:rFonts w:ascii="Calibri" w:eastAsia="Times New Roman" w:hAnsi="Calibri" w:cs="Calibri"/>
                <w:b/>
                <w:u w:val="single"/>
                <w:lang w:eastAsia="en-GB"/>
              </w:rPr>
              <w:lastRenderedPageBreak/>
              <w:t xml:space="preserve">PERSONAL TAXATION </w:t>
            </w:r>
          </w:p>
        </w:tc>
        <w:tc>
          <w:tcPr>
            <w:tcW w:w="12850" w:type="dxa"/>
          </w:tcPr>
          <w:p w:rsidR="00EC3F5F" w:rsidRDefault="00A7173B" w:rsidP="00A7173B">
            <w:pPr>
              <w:pStyle w:val="ListParagraph"/>
              <w:numPr>
                <w:ilvl w:val="0"/>
                <w:numId w:val="2"/>
              </w:numPr>
              <w:contextualSpacing w:val="0"/>
            </w:pPr>
            <w:r>
              <w:t>Personal Allowance</w:t>
            </w:r>
            <w:r w:rsidR="00EC3F5F">
              <w:t xml:space="preserve"> r</w:t>
            </w:r>
            <w:r>
              <w:t xml:space="preserve">ises as planned to </w:t>
            </w:r>
            <w:r>
              <w:rPr>
                <w:lang w:val="en-US"/>
              </w:rPr>
              <w:t>£</w:t>
            </w:r>
            <w:r>
              <w:t xml:space="preserve">11,500 from April 2017 and </w:t>
            </w:r>
            <w:r>
              <w:rPr>
                <w:lang w:val="en-US"/>
              </w:rPr>
              <w:t>£</w:t>
            </w:r>
            <w:r w:rsidR="00EC3F5F">
              <w:t>12,500 by 2020</w:t>
            </w:r>
          </w:p>
          <w:p w:rsidR="00A7173B" w:rsidRDefault="00A7173B" w:rsidP="00A7173B">
            <w:pPr>
              <w:pStyle w:val="ListParagraph"/>
              <w:numPr>
                <w:ilvl w:val="0"/>
                <w:numId w:val="2"/>
              </w:numPr>
              <w:contextualSpacing w:val="0"/>
            </w:pPr>
            <w:r>
              <w:t>Higher rate threshold to £50,000 by th</w:t>
            </w:r>
            <w:r w:rsidR="00EC3F5F">
              <w:t>e end of the current parliament</w:t>
            </w:r>
          </w:p>
          <w:p w:rsidR="00985117" w:rsidRPr="005A0934" w:rsidRDefault="00A7173B" w:rsidP="00EC3F5F">
            <w:pPr>
              <w:pStyle w:val="ListParagraph"/>
              <w:numPr>
                <w:ilvl w:val="0"/>
                <w:numId w:val="4"/>
              </w:numPr>
              <w:jc w:val="both"/>
            </w:pPr>
            <w:r>
              <w:rPr>
                <w:lang w:val="en"/>
              </w:rPr>
              <w:t>From April 2017, most salary sacrifice schemes will be subject to the same tax as cash income. This will affect types of salary sacrifice schemes differently</w:t>
            </w:r>
            <w:r w:rsidR="00EC3F5F">
              <w:rPr>
                <w:lang w:val="en"/>
              </w:rPr>
              <w:t xml:space="preserve"> (</w:t>
            </w:r>
            <w:r w:rsidR="00EC3F5F">
              <w:t>excludes childcare, Cycle to Work and ultralow emission cars)</w:t>
            </w:r>
          </w:p>
        </w:tc>
      </w:tr>
    </w:tbl>
    <w:p w:rsidR="00C01731" w:rsidRPr="00A64BA9" w:rsidRDefault="00C01731" w:rsidP="00273010"/>
    <w:sectPr w:rsidR="00C01731" w:rsidRPr="00A64BA9" w:rsidSect="00E21A5C">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5E" w:rsidRDefault="006A525E" w:rsidP="000108C9">
      <w:pPr>
        <w:spacing w:after="0" w:line="240" w:lineRule="auto"/>
      </w:pPr>
      <w:r>
        <w:separator/>
      </w:r>
    </w:p>
  </w:endnote>
  <w:endnote w:type="continuationSeparator" w:id="0">
    <w:p w:rsidR="006A525E" w:rsidRDefault="006A525E" w:rsidP="0001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FD" w:rsidRDefault="00655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FD" w:rsidRDefault="00655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FD" w:rsidRDefault="0065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5E" w:rsidRDefault="006A525E" w:rsidP="000108C9">
      <w:pPr>
        <w:spacing w:after="0" w:line="240" w:lineRule="auto"/>
      </w:pPr>
      <w:r>
        <w:separator/>
      </w:r>
    </w:p>
  </w:footnote>
  <w:footnote w:type="continuationSeparator" w:id="0">
    <w:p w:rsidR="006A525E" w:rsidRDefault="006A525E" w:rsidP="0001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FD" w:rsidRDefault="00655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7C" w:rsidRPr="000108C9" w:rsidRDefault="006552FD" w:rsidP="000108C9">
    <w:pPr>
      <w:pStyle w:val="Header"/>
      <w:jc w:val="center"/>
      <w:rPr>
        <w:b/>
        <w:sz w:val="28"/>
        <w:szCs w:val="28"/>
        <w:u w:val="single"/>
      </w:rPr>
    </w:pPr>
    <w:bookmarkStart w:id="0" w:name="_GoBack"/>
    <w:r>
      <w:rPr>
        <w:b/>
        <w:noProof/>
        <w:sz w:val="28"/>
        <w:szCs w:val="28"/>
        <w:u w:val="single"/>
        <w:lang w:eastAsia="en-GB"/>
      </w:rPr>
      <w:drawing>
        <wp:anchor distT="0" distB="0" distL="114300" distR="114300" simplePos="0" relativeHeight="251658240" behindDoc="0" locked="0" layoutInCell="1" allowOverlap="1" wp14:anchorId="2AFC7C63" wp14:editId="333C9F55">
          <wp:simplePos x="0" y="0"/>
          <wp:positionH relativeFrom="column">
            <wp:posOffset>7372350</wp:posOffset>
          </wp:positionH>
          <wp:positionV relativeFrom="paragraph">
            <wp:posOffset>-354965</wp:posOffset>
          </wp:positionV>
          <wp:extent cx="1703070" cy="83169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C_MASTER_LOGO_New_Strapline.png"/>
                  <pic:cNvPicPr/>
                </pic:nvPicPr>
                <pic:blipFill>
                  <a:blip r:embed="rId1">
                    <a:extLst>
                      <a:ext uri="{28A0092B-C50C-407E-A947-70E740481C1C}">
                        <a14:useLocalDpi xmlns:a14="http://schemas.microsoft.com/office/drawing/2010/main" val="0"/>
                      </a:ext>
                    </a:extLst>
                  </a:blip>
                  <a:stretch>
                    <a:fillRect/>
                  </a:stretch>
                </pic:blipFill>
                <pic:spPr>
                  <a:xfrm>
                    <a:off x="0" y="0"/>
                    <a:ext cx="1703070" cy="831690"/>
                  </a:xfrm>
                  <a:prstGeom prst="rect">
                    <a:avLst/>
                  </a:prstGeom>
                </pic:spPr>
              </pic:pic>
            </a:graphicData>
          </a:graphic>
          <wp14:sizeRelH relativeFrom="margin">
            <wp14:pctWidth>0</wp14:pctWidth>
          </wp14:sizeRelH>
          <wp14:sizeRelV relativeFrom="margin">
            <wp14:pctHeight>0</wp14:pctHeight>
          </wp14:sizeRelV>
        </wp:anchor>
      </w:drawing>
    </w:r>
    <w:r w:rsidR="00497FEA">
      <w:rPr>
        <w:b/>
        <w:sz w:val="28"/>
        <w:szCs w:val="28"/>
        <w:u w:val="single"/>
      </w:rPr>
      <w:t>AUTUMN STATEMENT</w:t>
    </w:r>
    <w:r w:rsidR="000B197C">
      <w:rPr>
        <w:b/>
        <w:sz w:val="28"/>
        <w:szCs w:val="28"/>
        <w:u w:val="single"/>
      </w:rPr>
      <w:t xml:space="preserve"> </w:t>
    </w:r>
    <w:r w:rsidR="00497FEA">
      <w:rPr>
        <w:b/>
        <w:sz w:val="28"/>
        <w:szCs w:val="28"/>
        <w:u w:val="single"/>
      </w:rPr>
      <w:t>NOVEMBER</w:t>
    </w:r>
    <w:r w:rsidR="00B055E0">
      <w:rPr>
        <w:b/>
        <w:sz w:val="28"/>
        <w:szCs w:val="28"/>
        <w:u w:val="single"/>
      </w:rPr>
      <w:t xml:space="preserve"> </w:t>
    </w:r>
    <w:r w:rsidR="000B197C">
      <w:rPr>
        <w:b/>
        <w:sz w:val="28"/>
        <w:szCs w:val="28"/>
        <w:u w:val="single"/>
      </w:rPr>
      <w:t>201</w:t>
    </w:r>
    <w:r w:rsidR="00497FEA">
      <w:rPr>
        <w:b/>
        <w:sz w:val="28"/>
        <w:szCs w:val="28"/>
        <w:u w:val="single"/>
      </w:rPr>
      <w:t>6</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FD" w:rsidRDefault="00655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E88"/>
    <w:multiLevelType w:val="hybridMultilevel"/>
    <w:tmpl w:val="57C8F4AA"/>
    <w:lvl w:ilvl="0" w:tplc="AC302D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21E5"/>
    <w:multiLevelType w:val="hybridMultilevel"/>
    <w:tmpl w:val="18D63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5786B"/>
    <w:multiLevelType w:val="hybridMultilevel"/>
    <w:tmpl w:val="B3509258"/>
    <w:lvl w:ilvl="0" w:tplc="EE5A83F4">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53F51"/>
    <w:multiLevelType w:val="hybridMultilevel"/>
    <w:tmpl w:val="8F621C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7553A7D"/>
    <w:multiLevelType w:val="hybridMultilevel"/>
    <w:tmpl w:val="95AC7504"/>
    <w:lvl w:ilvl="0" w:tplc="DCBE0EA8">
      <w:start w:val="6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B32360"/>
    <w:multiLevelType w:val="hybridMultilevel"/>
    <w:tmpl w:val="B02E4E0C"/>
    <w:lvl w:ilvl="0" w:tplc="09DCC122">
      <w:numFmt w:val="bullet"/>
      <w:lvlText w:val="•"/>
      <w:lvlJc w:val="left"/>
      <w:pPr>
        <w:ind w:left="1080" w:hanging="72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2084A40"/>
    <w:multiLevelType w:val="multilevel"/>
    <w:tmpl w:val="476A33E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4063CF7"/>
    <w:multiLevelType w:val="hybridMultilevel"/>
    <w:tmpl w:val="A9A48CF0"/>
    <w:lvl w:ilvl="0" w:tplc="484A8C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149F1"/>
    <w:multiLevelType w:val="hybridMultilevel"/>
    <w:tmpl w:val="E0F46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E97B68"/>
    <w:multiLevelType w:val="hybridMultilevel"/>
    <w:tmpl w:val="2862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538FF"/>
    <w:multiLevelType w:val="hybridMultilevel"/>
    <w:tmpl w:val="16A2C0CC"/>
    <w:lvl w:ilvl="0" w:tplc="C63C9B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084922"/>
    <w:multiLevelType w:val="hybridMultilevel"/>
    <w:tmpl w:val="1BDE5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E6011C"/>
    <w:multiLevelType w:val="hybridMultilevel"/>
    <w:tmpl w:val="DD7A4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2F3D86"/>
    <w:multiLevelType w:val="hybridMultilevel"/>
    <w:tmpl w:val="E5B012C0"/>
    <w:lvl w:ilvl="0" w:tplc="09DCC122">
      <w:numFmt w:val="bullet"/>
      <w:lvlText w:val="•"/>
      <w:lvlJc w:val="left"/>
      <w:pPr>
        <w:ind w:left="1080" w:hanging="72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D89737E"/>
    <w:multiLevelType w:val="hybridMultilevel"/>
    <w:tmpl w:val="7AA0B4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8816AF"/>
    <w:multiLevelType w:val="hybridMultilevel"/>
    <w:tmpl w:val="2E3C1D0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0925DA7"/>
    <w:multiLevelType w:val="hybridMultilevel"/>
    <w:tmpl w:val="908232F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2A20DE0"/>
    <w:multiLevelType w:val="hybridMultilevel"/>
    <w:tmpl w:val="AA7A8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4F93493"/>
    <w:multiLevelType w:val="hybridMultilevel"/>
    <w:tmpl w:val="10D28466"/>
    <w:lvl w:ilvl="0" w:tplc="C2A0E6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53879"/>
    <w:multiLevelType w:val="multilevel"/>
    <w:tmpl w:val="1C44C85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0D11D77"/>
    <w:multiLevelType w:val="hybridMultilevel"/>
    <w:tmpl w:val="30C6A10C"/>
    <w:lvl w:ilvl="0" w:tplc="09DCC122">
      <w:numFmt w:val="bullet"/>
      <w:lvlText w:val="•"/>
      <w:lvlJc w:val="left"/>
      <w:pPr>
        <w:ind w:left="1080" w:hanging="72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64D05E3"/>
    <w:multiLevelType w:val="hybridMultilevel"/>
    <w:tmpl w:val="23528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CD2F0B"/>
    <w:multiLevelType w:val="hybridMultilevel"/>
    <w:tmpl w:val="D53E3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E55EAF"/>
    <w:multiLevelType w:val="hybridMultilevel"/>
    <w:tmpl w:val="14823456"/>
    <w:lvl w:ilvl="0" w:tplc="09DCC122">
      <w:numFmt w:val="bullet"/>
      <w:lvlText w:val="•"/>
      <w:lvlJc w:val="left"/>
      <w:pPr>
        <w:ind w:left="1080" w:hanging="72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BE35C20"/>
    <w:multiLevelType w:val="hybridMultilevel"/>
    <w:tmpl w:val="26748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3F4E49"/>
    <w:multiLevelType w:val="hybridMultilevel"/>
    <w:tmpl w:val="8C0C0C14"/>
    <w:lvl w:ilvl="0" w:tplc="BE86B1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F58AE"/>
    <w:multiLevelType w:val="hybridMultilevel"/>
    <w:tmpl w:val="B14AD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C5403A"/>
    <w:multiLevelType w:val="hybridMultilevel"/>
    <w:tmpl w:val="6BE47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1545C"/>
    <w:multiLevelType w:val="hybridMultilevel"/>
    <w:tmpl w:val="B5CCF828"/>
    <w:lvl w:ilvl="0" w:tplc="D1E85AD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10"/>
  </w:num>
  <w:num w:numId="5">
    <w:abstractNumId w:val="12"/>
  </w:num>
  <w:num w:numId="6">
    <w:abstractNumId w:val="21"/>
  </w:num>
  <w:num w:numId="7">
    <w:abstractNumId w:val="11"/>
  </w:num>
  <w:num w:numId="8">
    <w:abstractNumId w:val="22"/>
  </w:num>
  <w:num w:numId="9">
    <w:abstractNumId w:val="1"/>
  </w:num>
  <w:num w:numId="10">
    <w:abstractNumId w:val="24"/>
  </w:num>
  <w:num w:numId="11">
    <w:abstractNumId w:val="26"/>
  </w:num>
  <w:num w:numId="12">
    <w:abstractNumId w:val="25"/>
  </w:num>
  <w:num w:numId="13">
    <w:abstractNumId w:val="28"/>
  </w:num>
  <w:num w:numId="14">
    <w:abstractNumId w:val="18"/>
  </w:num>
  <w:num w:numId="15">
    <w:abstractNumId w:val="0"/>
  </w:num>
  <w:num w:numId="16">
    <w:abstractNumId w:val="7"/>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27"/>
  </w:num>
  <w:num w:numId="24">
    <w:abstractNumId w:val="4"/>
  </w:num>
  <w:num w:numId="25">
    <w:abstractNumId w:val="17"/>
  </w:num>
  <w:num w:numId="26">
    <w:abstractNumId w:val="6"/>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5C"/>
    <w:rsid w:val="000005F5"/>
    <w:rsid w:val="00003B42"/>
    <w:rsid w:val="0000456D"/>
    <w:rsid w:val="00004F9A"/>
    <w:rsid w:val="0001054A"/>
    <w:rsid w:val="000108C9"/>
    <w:rsid w:val="0001336E"/>
    <w:rsid w:val="00013498"/>
    <w:rsid w:val="00014EAC"/>
    <w:rsid w:val="00015CB3"/>
    <w:rsid w:val="00015FCF"/>
    <w:rsid w:val="00016D81"/>
    <w:rsid w:val="000170B3"/>
    <w:rsid w:val="0002058F"/>
    <w:rsid w:val="000231F6"/>
    <w:rsid w:val="0002521A"/>
    <w:rsid w:val="00030D68"/>
    <w:rsid w:val="000315EC"/>
    <w:rsid w:val="00033679"/>
    <w:rsid w:val="000352A2"/>
    <w:rsid w:val="00044017"/>
    <w:rsid w:val="00045557"/>
    <w:rsid w:val="00050450"/>
    <w:rsid w:val="00051676"/>
    <w:rsid w:val="00052935"/>
    <w:rsid w:val="00052CF1"/>
    <w:rsid w:val="00055EA9"/>
    <w:rsid w:val="0005651E"/>
    <w:rsid w:val="000568EF"/>
    <w:rsid w:val="000673AA"/>
    <w:rsid w:val="000677C1"/>
    <w:rsid w:val="000715F4"/>
    <w:rsid w:val="00071CD6"/>
    <w:rsid w:val="00076091"/>
    <w:rsid w:val="000822D8"/>
    <w:rsid w:val="00087C55"/>
    <w:rsid w:val="00090A39"/>
    <w:rsid w:val="00090DDA"/>
    <w:rsid w:val="00092197"/>
    <w:rsid w:val="00093D80"/>
    <w:rsid w:val="00094A2F"/>
    <w:rsid w:val="000B0295"/>
    <w:rsid w:val="000B197C"/>
    <w:rsid w:val="000B2A2D"/>
    <w:rsid w:val="000B3A25"/>
    <w:rsid w:val="000B4234"/>
    <w:rsid w:val="000B468B"/>
    <w:rsid w:val="000B65B0"/>
    <w:rsid w:val="000B714E"/>
    <w:rsid w:val="000C545F"/>
    <w:rsid w:val="000C6847"/>
    <w:rsid w:val="000C7B3E"/>
    <w:rsid w:val="000D2F25"/>
    <w:rsid w:val="000D3F07"/>
    <w:rsid w:val="000D46F1"/>
    <w:rsid w:val="000D6515"/>
    <w:rsid w:val="000E1D9A"/>
    <w:rsid w:val="000E297F"/>
    <w:rsid w:val="000E3CAA"/>
    <w:rsid w:val="000E42A7"/>
    <w:rsid w:val="000E4BDD"/>
    <w:rsid w:val="000E675B"/>
    <w:rsid w:val="000E785B"/>
    <w:rsid w:val="000F0853"/>
    <w:rsid w:val="000F2E4B"/>
    <w:rsid w:val="000F33F9"/>
    <w:rsid w:val="000F4265"/>
    <w:rsid w:val="000F44CA"/>
    <w:rsid w:val="000F631C"/>
    <w:rsid w:val="001005DE"/>
    <w:rsid w:val="00102DD3"/>
    <w:rsid w:val="001032AC"/>
    <w:rsid w:val="0010531E"/>
    <w:rsid w:val="001078B7"/>
    <w:rsid w:val="00110399"/>
    <w:rsid w:val="00112129"/>
    <w:rsid w:val="00112B75"/>
    <w:rsid w:val="00122C91"/>
    <w:rsid w:val="00123382"/>
    <w:rsid w:val="00127CDF"/>
    <w:rsid w:val="001325C3"/>
    <w:rsid w:val="0013293D"/>
    <w:rsid w:val="00136509"/>
    <w:rsid w:val="00136A40"/>
    <w:rsid w:val="0014100C"/>
    <w:rsid w:val="00141102"/>
    <w:rsid w:val="0014395B"/>
    <w:rsid w:val="00144CA5"/>
    <w:rsid w:val="0014574B"/>
    <w:rsid w:val="00145EE1"/>
    <w:rsid w:val="00146B11"/>
    <w:rsid w:val="00147932"/>
    <w:rsid w:val="0015032B"/>
    <w:rsid w:val="00150F26"/>
    <w:rsid w:val="001514F1"/>
    <w:rsid w:val="001522C9"/>
    <w:rsid w:val="00156C3A"/>
    <w:rsid w:val="001675CA"/>
    <w:rsid w:val="00170F4A"/>
    <w:rsid w:val="00176C5B"/>
    <w:rsid w:val="00177BE1"/>
    <w:rsid w:val="00180BB8"/>
    <w:rsid w:val="0018145B"/>
    <w:rsid w:val="00182FE6"/>
    <w:rsid w:val="00183963"/>
    <w:rsid w:val="00184760"/>
    <w:rsid w:val="001852AD"/>
    <w:rsid w:val="00186C29"/>
    <w:rsid w:val="00187D37"/>
    <w:rsid w:val="0019516C"/>
    <w:rsid w:val="001A06A0"/>
    <w:rsid w:val="001A14FC"/>
    <w:rsid w:val="001A1B67"/>
    <w:rsid w:val="001A2582"/>
    <w:rsid w:val="001A343A"/>
    <w:rsid w:val="001A362E"/>
    <w:rsid w:val="001A5192"/>
    <w:rsid w:val="001A6BE5"/>
    <w:rsid w:val="001A6C19"/>
    <w:rsid w:val="001A7A27"/>
    <w:rsid w:val="001B18B0"/>
    <w:rsid w:val="001B3A2A"/>
    <w:rsid w:val="001B4044"/>
    <w:rsid w:val="001B578F"/>
    <w:rsid w:val="001D228C"/>
    <w:rsid w:val="001D2940"/>
    <w:rsid w:val="001D3531"/>
    <w:rsid w:val="001D5211"/>
    <w:rsid w:val="001E55E5"/>
    <w:rsid w:val="001E7397"/>
    <w:rsid w:val="001F240A"/>
    <w:rsid w:val="001F3465"/>
    <w:rsid w:val="001F700C"/>
    <w:rsid w:val="0020028A"/>
    <w:rsid w:val="00201123"/>
    <w:rsid w:val="00202B55"/>
    <w:rsid w:val="002075DA"/>
    <w:rsid w:val="00211D38"/>
    <w:rsid w:val="00212A48"/>
    <w:rsid w:val="0021483C"/>
    <w:rsid w:val="00215727"/>
    <w:rsid w:val="0021691A"/>
    <w:rsid w:val="00217365"/>
    <w:rsid w:val="002176F8"/>
    <w:rsid w:val="0022004F"/>
    <w:rsid w:val="00221092"/>
    <w:rsid w:val="002218C6"/>
    <w:rsid w:val="0022788E"/>
    <w:rsid w:val="002310F8"/>
    <w:rsid w:val="002356C8"/>
    <w:rsid w:val="00236CCB"/>
    <w:rsid w:val="00236E21"/>
    <w:rsid w:val="00240F0C"/>
    <w:rsid w:val="00244F57"/>
    <w:rsid w:val="00245BE1"/>
    <w:rsid w:val="0024757F"/>
    <w:rsid w:val="00251A5F"/>
    <w:rsid w:val="0025202B"/>
    <w:rsid w:val="0025286E"/>
    <w:rsid w:val="00255728"/>
    <w:rsid w:val="00256019"/>
    <w:rsid w:val="00256734"/>
    <w:rsid w:val="00256916"/>
    <w:rsid w:val="0026118C"/>
    <w:rsid w:val="00262CA8"/>
    <w:rsid w:val="00273010"/>
    <w:rsid w:val="0028308F"/>
    <w:rsid w:val="0028525E"/>
    <w:rsid w:val="00287A04"/>
    <w:rsid w:val="00287E19"/>
    <w:rsid w:val="00294B1D"/>
    <w:rsid w:val="00296A06"/>
    <w:rsid w:val="002A18B7"/>
    <w:rsid w:val="002A18EE"/>
    <w:rsid w:val="002A4645"/>
    <w:rsid w:val="002A70DF"/>
    <w:rsid w:val="002B4204"/>
    <w:rsid w:val="002B5DD4"/>
    <w:rsid w:val="002B646E"/>
    <w:rsid w:val="002B7891"/>
    <w:rsid w:val="002C0CE3"/>
    <w:rsid w:val="002C0D10"/>
    <w:rsid w:val="002D22CC"/>
    <w:rsid w:val="002D5C9F"/>
    <w:rsid w:val="002D5CEF"/>
    <w:rsid w:val="002D7D00"/>
    <w:rsid w:val="002E0FF0"/>
    <w:rsid w:val="002E1625"/>
    <w:rsid w:val="002E2DB9"/>
    <w:rsid w:val="002E4B11"/>
    <w:rsid w:val="002E5454"/>
    <w:rsid w:val="002E5D05"/>
    <w:rsid w:val="002E5EA5"/>
    <w:rsid w:val="002E79A1"/>
    <w:rsid w:val="002F3EF8"/>
    <w:rsid w:val="002F5CCE"/>
    <w:rsid w:val="002F5F5E"/>
    <w:rsid w:val="002F650C"/>
    <w:rsid w:val="002F6B14"/>
    <w:rsid w:val="002F7381"/>
    <w:rsid w:val="002F7C16"/>
    <w:rsid w:val="002F7D87"/>
    <w:rsid w:val="00300E23"/>
    <w:rsid w:val="003012B6"/>
    <w:rsid w:val="003029C8"/>
    <w:rsid w:val="003033E9"/>
    <w:rsid w:val="00303C16"/>
    <w:rsid w:val="00304768"/>
    <w:rsid w:val="00313557"/>
    <w:rsid w:val="00314E31"/>
    <w:rsid w:val="00315625"/>
    <w:rsid w:val="003178E9"/>
    <w:rsid w:val="00326AAF"/>
    <w:rsid w:val="00330B10"/>
    <w:rsid w:val="00336A26"/>
    <w:rsid w:val="00336D62"/>
    <w:rsid w:val="00345E40"/>
    <w:rsid w:val="00351D5D"/>
    <w:rsid w:val="00352A25"/>
    <w:rsid w:val="00360952"/>
    <w:rsid w:val="00360D0B"/>
    <w:rsid w:val="00364FA0"/>
    <w:rsid w:val="00364FB5"/>
    <w:rsid w:val="0037019E"/>
    <w:rsid w:val="00371F6F"/>
    <w:rsid w:val="0037360A"/>
    <w:rsid w:val="00376452"/>
    <w:rsid w:val="00380EAC"/>
    <w:rsid w:val="00381CAC"/>
    <w:rsid w:val="0038637E"/>
    <w:rsid w:val="003873ED"/>
    <w:rsid w:val="003908C2"/>
    <w:rsid w:val="0039433C"/>
    <w:rsid w:val="003948DD"/>
    <w:rsid w:val="00395482"/>
    <w:rsid w:val="00395C52"/>
    <w:rsid w:val="003976F7"/>
    <w:rsid w:val="003A21DC"/>
    <w:rsid w:val="003A2451"/>
    <w:rsid w:val="003A25EA"/>
    <w:rsid w:val="003A3472"/>
    <w:rsid w:val="003A400D"/>
    <w:rsid w:val="003A4011"/>
    <w:rsid w:val="003A7215"/>
    <w:rsid w:val="003A78B6"/>
    <w:rsid w:val="003B0514"/>
    <w:rsid w:val="003B0A2C"/>
    <w:rsid w:val="003B0BDC"/>
    <w:rsid w:val="003B3E78"/>
    <w:rsid w:val="003B6D03"/>
    <w:rsid w:val="003C096B"/>
    <w:rsid w:val="003C110F"/>
    <w:rsid w:val="003C5D73"/>
    <w:rsid w:val="003C5FDA"/>
    <w:rsid w:val="003C6D93"/>
    <w:rsid w:val="003D38F8"/>
    <w:rsid w:val="003D3FEA"/>
    <w:rsid w:val="003D5486"/>
    <w:rsid w:val="003D6469"/>
    <w:rsid w:val="003D737B"/>
    <w:rsid w:val="003D74E6"/>
    <w:rsid w:val="003E137B"/>
    <w:rsid w:val="003E2C7F"/>
    <w:rsid w:val="003E3FE2"/>
    <w:rsid w:val="003E6861"/>
    <w:rsid w:val="003E6E41"/>
    <w:rsid w:val="003E70A8"/>
    <w:rsid w:val="003F0648"/>
    <w:rsid w:val="003F0DE0"/>
    <w:rsid w:val="003F1762"/>
    <w:rsid w:val="003F35E7"/>
    <w:rsid w:val="003F52D2"/>
    <w:rsid w:val="00403C7B"/>
    <w:rsid w:val="00405F5E"/>
    <w:rsid w:val="0040794B"/>
    <w:rsid w:val="004120C8"/>
    <w:rsid w:val="00413795"/>
    <w:rsid w:val="00414268"/>
    <w:rsid w:val="00421369"/>
    <w:rsid w:val="00421681"/>
    <w:rsid w:val="00421A1B"/>
    <w:rsid w:val="004249A8"/>
    <w:rsid w:val="00426BD9"/>
    <w:rsid w:val="00433359"/>
    <w:rsid w:val="004346BB"/>
    <w:rsid w:val="00435695"/>
    <w:rsid w:val="0044071C"/>
    <w:rsid w:val="00441F36"/>
    <w:rsid w:val="00443606"/>
    <w:rsid w:val="00443BBE"/>
    <w:rsid w:val="004464AF"/>
    <w:rsid w:val="00450691"/>
    <w:rsid w:val="00451255"/>
    <w:rsid w:val="00452DAD"/>
    <w:rsid w:val="004533EF"/>
    <w:rsid w:val="00462BAB"/>
    <w:rsid w:val="00462D11"/>
    <w:rsid w:val="0046565B"/>
    <w:rsid w:val="00470ECE"/>
    <w:rsid w:val="00472614"/>
    <w:rsid w:val="00472BC6"/>
    <w:rsid w:val="00475633"/>
    <w:rsid w:val="00477F09"/>
    <w:rsid w:val="00484CBF"/>
    <w:rsid w:val="0048688B"/>
    <w:rsid w:val="00490221"/>
    <w:rsid w:val="00495A97"/>
    <w:rsid w:val="00497DDD"/>
    <w:rsid w:val="00497FEA"/>
    <w:rsid w:val="004A11D5"/>
    <w:rsid w:val="004A1377"/>
    <w:rsid w:val="004A42C8"/>
    <w:rsid w:val="004A5822"/>
    <w:rsid w:val="004A5D87"/>
    <w:rsid w:val="004A5F9B"/>
    <w:rsid w:val="004B0B8A"/>
    <w:rsid w:val="004B0FFF"/>
    <w:rsid w:val="004B389D"/>
    <w:rsid w:val="004B4D96"/>
    <w:rsid w:val="004B4E42"/>
    <w:rsid w:val="004B56FC"/>
    <w:rsid w:val="004B605C"/>
    <w:rsid w:val="004B7088"/>
    <w:rsid w:val="004B73E6"/>
    <w:rsid w:val="004B7D5F"/>
    <w:rsid w:val="004C093F"/>
    <w:rsid w:val="004C0AA4"/>
    <w:rsid w:val="004C4AFE"/>
    <w:rsid w:val="004C4E5B"/>
    <w:rsid w:val="004C6F67"/>
    <w:rsid w:val="004C7478"/>
    <w:rsid w:val="004E02D0"/>
    <w:rsid w:val="004E26DE"/>
    <w:rsid w:val="004E351D"/>
    <w:rsid w:val="004E3FA1"/>
    <w:rsid w:val="004E516B"/>
    <w:rsid w:val="004F0056"/>
    <w:rsid w:val="004F38C9"/>
    <w:rsid w:val="004F47B5"/>
    <w:rsid w:val="004F5879"/>
    <w:rsid w:val="0050266B"/>
    <w:rsid w:val="00503E9F"/>
    <w:rsid w:val="00504FF1"/>
    <w:rsid w:val="0050781F"/>
    <w:rsid w:val="0051098B"/>
    <w:rsid w:val="0051181E"/>
    <w:rsid w:val="00512012"/>
    <w:rsid w:val="0051290E"/>
    <w:rsid w:val="005168A2"/>
    <w:rsid w:val="00531754"/>
    <w:rsid w:val="0053259E"/>
    <w:rsid w:val="00534AC3"/>
    <w:rsid w:val="00537576"/>
    <w:rsid w:val="005375C7"/>
    <w:rsid w:val="005403F8"/>
    <w:rsid w:val="00542674"/>
    <w:rsid w:val="00542922"/>
    <w:rsid w:val="00543E24"/>
    <w:rsid w:val="005473C6"/>
    <w:rsid w:val="0055206F"/>
    <w:rsid w:val="00552F7B"/>
    <w:rsid w:val="00554D4B"/>
    <w:rsid w:val="00557278"/>
    <w:rsid w:val="00562109"/>
    <w:rsid w:val="00562F21"/>
    <w:rsid w:val="00564346"/>
    <w:rsid w:val="00566D89"/>
    <w:rsid w:val="00567EBE"/>
    <w:rsid w:val="005732FA"/>
    <w:rsid w:val="00576AF9"/>
    <w:rsid w:val="00576C8F"/>
    <w:rsid w:val="005816BE"/>
    <w:rsid w:val="00582E19"/>
    <w:rsid w:val="0058502B"/>
    <w:rsid w:val="00586612"/>
    <w:rsid w:val="00586C78"/>
    <w:rsid w:val="0059053F"/>
    <w:rsid w:val="0059145D"/>
    <w:rsid w:val="00596385"/>
    <w:rsid w:val="005A0934"/>
    <w:rsid w:val="005A3185"/>
    <w:rsid w:val="005A3715"/>
    <w:rsid w:val="005A45D8"/>
    <w:rsid w:val="005A48A3"/>
    <w:rsid w:val="005B386A"/>
    <w:rsid w:val="005B52DD"/>
    <w:rsid w:val="005B79BC"/>
    <w:rsid w:val="005B79EF"/>
    <w:rsid w:val="005C0A8F"/>
    <w:rsid w:val="005C3432"/>
    <w:rsid w:val="005C3DFE"/>
    <w:rsid w:val="005C697B"/>
    <w:rsid w:val="005D037E"/>
    <w:rsid w:val="005D216D"/>
    <w:rsid w:val="005D220D"/>
    <w:rsid w:val="005D26EA"/>
    <w:rsid w:val="005D41A5"/>
    <w:rsid w:val="005D4F4F"/>
    <w:rsid w:val="005E003A"/>
    <w:rsid w:val="005E0211"/>
    <w:rsid w:val="005E0228"/>
    <w:rsid w:val="005E315F"/>
    <w:rsid w:val="005E457D"/>
    <w:rsid w:val="005F1A4B"/>
    <w:rsid w:val="00600E5A"/>
    <w:rsid w:val="00601519"/>
    <w:rsid w:val="006027E8"/>
    <w:rsid w:val="00605235"/>
    <w:rsid w:val="00607302"/>
    <w:rsid w:val="00607A2F"/>
    <w:rsid w:val="006155F2"/>
    <w:rsid w:val="00615AC7"/>
    <w:rsid w:val="0061648F"/>
    <w:rsid w:val="0062071E"/>
    <w:rsid w:val="0062182A"/>
    <w:rsid w:val="006227A2"/>
    <w:rsid w:val="00622A31"/>
    <w:rsid w:val="006243E3"/>
    <w:rsid w:val="0063001E"/>
    <w:rsid w:val="00630846"/>
    <w:rsid w:val="0063102E"/>
    <w:rsid w:val="00632B03"/>
    <w:rsid w:val="0063336C"/>
    <w:rsid w:val="00633E1C"/>
    <w:rsid w:val="006358B1"/>
    <w:rsid w:val="00635E8A"/>
    <w:rsid w:val="006363A0"/>
    <w:rsid w:val="006373F5"/>
    <w:rsid w:val="00641488"/>
    <w:rsid w:val="0064290C"/>
    <w:rsid w:val="006453C8"/>
    <w:rsid w:val="00645DB5"/>
    <w:rsid w:val="006462B9"/>
    <w:rsid w:val="006476E8"/>
    <w:rsid w:val="0065191B"/>
    <w:rsid w:val="0065408D"/>
    <w:rsid w:val="006552FD"/>
    <w:rsid w:val="006553E7"/>
    <w:rsid w:val="006555A9"/>
    <w:rsid w:val="00656299"/>
    <w:rsid w:val="00657312"/>
    <w:rsid w:val="00657B12"/>
    <w:rsid w:val="00661C5F"/>
    <w:rsid w:val="006770E9"/>
    <w:rsid w:val="0067736A"/>
    <w:rsid w:val="00677870"/>
    <w:rsid w:val="00680631"/>
    <w:rsid w:val="00681D73"/>
    <w:rsid w:val="006845D0"/>
    <w:rsid w:val="0068478C"/>
    <w:rsid w:val="00685CE3"/>
    <w:rsid w:val="006871A7"/>
    <w:rsid w:val="00687C96"/>
    <w:rsid w:val="0069191E"/>
    <w:rsid w:val="00691D1C"/>
    <w:rsid w:val="006932D7"/>
    <w:rsid w:val="00697487"/>
    <w:rsid w:val="006A1A9F"/>
    <w:rsid w:val="006A1D34"/>
    <w:rsid w:val="006A2FDB"/>
    <w:rsid w:val="006A525E"/>
    <w:rsid w:val="006A6A3B"/>
    <w:rsid w:val="006A6AFC"/>
    <w:rsid w:val="006B0435"/>
    <w:rsid w:val="006B1572"/>
    <w:rsid w:val="006B23EE"/>
    <w:rsid w:val="006B4EE7"/>
    <w:rsid w:val="006C0B7A"/>
    <w:rsid w:val="006C2D2C"/>
    <w:rsid w:val="006C3AA2"/>
    <w:rsid w:val="006C4846"/>
    <w:rsid w:val="006C79B6"/>
    <w:rsid w:val="006D0B2C"/>
    <w:rsid w:val="006D0EF5"/>
    <w:rsid w:val="006D132B"/>
    <w:rsid w:val="006D2580"/>
    <w:rsid w:val="006D2AB0"/>
    <w:rsid w:val="006D3929"/>
    <w:rsid w:val="006D3A82"/>
    <w:rsid w:val="006D4358"/>
    <w:rsid w:val="006D6140"/>
    <w:rsid w:val="006D667E"/>
    <w:rsid w:val="006E0F81"/>
    <w:rsid w:val="006E3412"/>
    <w:rsid w:val="006E44DC"/>
    <w:rsid w:val="006E459F"/>
    <w:rsid w:val="006E7055"/>
    <w:rsid w:val="006F0B24"/>
    <w:rsid w:val="006F1CEC"/>
    <w:rsid w:val="006F21AE"/>
    <w:rsid w:val="006F669B"/>
    <w:rsid w:val="006F68BA"/>
    <w:rsid w:val="006F70AD"/>
    <w:rsid w:val="006F74C8"/>
    <w:rsid w:val="006F7CE1"/>
    <w:rsid w:val="00700A48"/>
    <w:rsid w:val="007013E0"/>
    <w:rsid w:val="00705965"/>
    <w:rsid w:val="0071170E"/>
    <w:rsid w:val="00712863"/>
    <w:rsid w:val="00713A13"/>
    <w:rsid w:val="00714647"/>
    <w:rsid w:val="00715FDF"/>
    <w:rsid w:val="00717E56"/>
    <w:rsid w:val="00721B63"/>
    <w:rsid w:val="00726377"/>
    <w:rsid w:val="0072688D"/>
    <w:rsid w:val="00731520"/>
    <w:rsid w:val="00737B54"/>
    <w:rsid w:val="00742D8F"/>
    <w:rsid w:val="007437EB"/>
    <w:rsid w:val="00743EBD"/>
    <w:rsid w:val="00750380"/>
    <w:rsid w:val="00751C6D"/>
    <w:rsid w:val="007530C5"/>
    <w:rsid w:val="007608E3"/>
    <w:rsid w:val="0076334F"/>
    <w:rsid w:val="00763EEE"/>
    <w:rsid w:val="00764C31"/>
    <w:rsid w:val="00767D4C"/>
    <w:rsid w:val="00770485"/>
    <w:rsid w:val="00771623"/>
    <w:rsid w:val="00771A98"/>
    <w:rsid w:val="00771E70"/>
    <w:rsid w:val="00771F2A"/>
    <w:rsid w:val="00774C76"/>
    <w:rsid w:val="0077721E"/>
    <w:rsid w:val="007775BF"/>
    <w:rsid w:val="00780350"/>
    <w:rsid w:val="0078049B"/>
    <w:rsid w:val="00780C6F"/>
    <w:rsid w:val="00780F54"/>
    <w:rsid w:val="00781704"/>
    <w:rsid w:val="00782484"/>
    <w:rsid w:val="007828D3"/>
    <w:rsid w:val="00783C5D"/>
    <w:rsid w:val="00783E5D"/>
    <w:rsid w:val="007845A8"/>
    <w:rsid w:val="00785575"/>
    <w:rsid w:val="00785FAE"/>
    <w:rsid w:val="00787411"/>
    <w:rsid w:val="007922CF"/>
    <w:rsid w:val="007A3B7A"/>
    <w:rsid w:val="007A43F5"/>
    <w:rsid w:val="007A6543"/>
    <w:rsid w:val="007B0A19"/>
    <w:rsid w:val="007B74F3"/>
    <w:rsid w:val="007B7AAC"/>
    <w:rsid w:val="007C273A"/>
    <w:rsid w:val="007C29FC"/>
    <w:rsid w:val="007C30B3"/>
    <w:rsid w:val="007C57F0"/>
    <w:rsid w:val="007C604C"/>
    <w:rsid w:val="007C7011"/>
    <w:rsid w:val="007D2DEE"/>
    <w:rsid w:val="007D57C2"/>
    <w:rsid w:val="007D5A46"/>
    <w:rsid w:val="007E0737"/>
    <w:rsid w:val="007E09F6"/>
    <w:rsid w:val="007E12E0"/>
    <w:rsid w:val="007E3CDE"/>
    <w:rsid w:val="007E45CE"/>
    <w:rsid w:val="007E4B5C"/>
    <w:rsid w:val="007E5FEE"/>
    <w:rsid w:val="007F1F97"/>
    <w:rsid w:val="007F27C0"/>
    <w:rsid w:val="007F68F4"/>
    <w:rsid w:val="007F6F9F"/>
    <w:rsid w:val="007F77BB"/>
    <w:rsid w:val="00800946"/>
    <w:rsid w:val="00800D82"/>
    <w:rsid w:val="00801981"/>
    <w:rsid w:val="008041F6"/>
    <w:rsid w:val="00805678"/>
    <w:rsid w:val="00806703"/>
    <w:rsid w:val="00806C9A"/>
    <w:rsid w:val="008155F7"/>
    <w:rsid w:val="00817CFA"/>
    <w:rsid w:val="008202E3"/>
    <w:rsid w:val="00825BE1"/>
    <w:rsid w:val="00827CBB"/>
    <w:rsid w:val="00831FC3"/>
    <w:rsid w:val="00832636"/>
    <w:rsid w:val="008341E9"/>
    <w:rsid w:val="0083496B"/>
    <w:rsid w:val="00840CDF"/>
    <w:rsid w:val="00842E0B"/>
    <w:rsid w:val="00843513"/>
    <w:rsid w:val="00845A60"/>
    <w:rsid w:val="00847C6E"/>
    <w:rsid w:val="00850011"/>
    <w:rsid w:val="00852200"/>
    <w:rsid w:val="00852F6C"/>
    <w:rsid w:val="0085474D"/>
    <w:rsid w:val="00857AC9"/>
    <w:rsid w:val="00862014"/>
    <w:rsid w:val="00863162"/>
    <w:rsid w:val="00864F8E"/>
    <w:rsid w:val="00867963"/>
    <w:rsid w:val="0087504D"/>
    <w:rsid w:val="008753A5"/>
    <w:rsid w:val="00876308"/>
    <w:rsid w:val="0087651F"/>
    <w:rsid w:val="0087739E"/>
    <w:rsid w:val="008802CC"/>
    <w:rsid w:val="008811B7"/>
    <w:rsid w:val="00881FD7"/>
    <w:rsid w:val="008823E5"/>
    <w:rsid w:val="008824F7"/>
    <w:rsid w:val="0088387F"/>
    <w:rsid w:val="00883B32"/>
    <w:rsid w:val="008860D8"/>
    <w:rsid w:val="008869C9"/>
    <w:rsid w:val="00887647"/>
    <w:rsid w:val="008925F4"/>
    <w:rsid w:val="00893A90"/>
    <w:rsid w:val="00893C46"/>
    <w:rsid w:val="00894C3D"/>
    <w:rsid w:val="00896C06"/>
    <w:rsid w:val="00897DA1"/>
    <w:rsid w:val="008A0CFA"/>
    <w:rsid w:val="008A1C15"/>
    <w:rsid w:val="008A4076"/>
    <w:rsid w:val="008A6B1C"/>
    <w:rsid w:val="008B47EA"/>
    <w:rsid w:val="008B482E"/>
    <w:rsid w:val="008B492F"/>
    <w:rsid w:val="008B5452"/>
    <w:rsid w:val="008C3A1E"/>
    <w:rsid w:val="008C413E"/>
    <w:rsid w:val="008C485C"/>
    <w:rsid w:val="008C51CA"/>
    <w:rsid w:val="008C6C4D"/>
    <w:rsid w:val="008C6DC2"/>
    <w:rsid w:val="008D24B2"/>
    <w:rsid w:val="008D2A13"/>
    <w:rsid w:val="008D61F0"/>
    <w:rsid w:val="008E4A68"/>
    <w:rsid w:val="008E7359"/>
    <w:rsid w:val="008E79EF"/>
    <w:rsid w:val="008F032A"/>
    <w:rsid w:val="008F3194"/>
    <w:rsid w:val="00900379"/>
    <w:rsid w:val="00902E6E"/>
    <w:rsid w:val="00906106"/>
    <w:rsid w:val="009071DD"/>
    <w:rsid w:val="00914EE4"/>
    <w:rsid w:val="0091566A"/>
    <w:rsid w:val="009279EE"/>
    <w:rsid w:val="00927DA0"/>
    <w:rsid w:val="00931551"/>
    <w:rsid w:val="00935E3A"/>
    <w:rsid w:val="00936AE5"/>
    <w:rsid w:val="0093740E"/>
    <w:rsid w:val="0093788F"/>
    <w:rsid w:val="00940390"/>
    <w:rsid w:val="009409A5"/>
    <w:rsid w:val="00940BB0"/>
    <w:rsid w:val="009422EB"/>
    <w:rsid w:val="009514CA"/>
    <w:rsid w:val="0095165E"/>
    <w:rsid w:val="00953AA2"/>
    <w:rsid w:val="00954403"/>
    <w:rsid w:val="00955D28"/>
    <w:rsid w:val="00956902"/>
    <w:rsid w:val="00960239"/>
    <w:rsid w:val="00962E44"/>
    <w:rsid w:val="00965135"/>
    <w:rsid w:val="00965AED"/>
    <w:rsid w:val="009712CD"/>
    <w:rsid w:val="00973DDE"/>
    <w:rsid w:val="009748C0"/>
    <w:rsid w:val="00974D36"/>
    <w:rsid w:val="00980176"/>
    <w:rsid w:val="0098435D"/>
    <w:rsid w:val="009848EC"/>
    <w:rsid w:val="00985117"/>
    <w:rsid w:val="00985A9E"/>
    <w:rsid w:val="00985D33"/>
    <w:rsid w:val="00987B23"/>
    <w:rsid w:val="00992B38"/>
    <w:rsid w:val="00993083"/>
    <w:rsid w:val="009A2FC2"/>
    <w:rsid w:val="009A47F4"/>
    <w:rsid w:val="009A5DE7"/>
    <w:rsid w:val="009A77B8"/>
    <w:rsid w:val="009A7CB6"/>
    <w:rsid w:val="009B0B12"/>
    <w:rsid w:val="009B138B"/>
    <w:rsid w:val="009B6F86"/>
    <w:rsid w:val="009C1186"/>
    <w:rsid w:val="009C48B5"/>
    <w:rsid w:val="009C4EF3"/>
    <w:rsid w:val="009C6EF6"/>
    <w:rsid w:val="009C7A17"/>
    <w:rsid w:val="009D0908"/>
    <w:rsid w:val="009D0AD8"/>
    <w:rsid w:val="009D24AD"/>
    <w:rsid w:val="009D2557"/>
    <w:rsid w:val="009D30F0"/>
    <w:rsid w:val="009D442F"/>
    <w:rsid w:val="009D5C3C"/>
    <w:rsid w:val="009E1491"/>
    <w:rsid w:val="009E343F"/>
    <w:rsid w:val="009E770C"/>
    <w:rsid w:val="009F2E8F"/>
    <w:rsid w:val="009F33F0"/>
    <w:rsid w:val="009F7149"/>
    <w:rsid w:val="00A0001A"/>
    <w:rsid w:val="00A03E3F"/>
    <w:rsid w:val="00A0504C"/>
    <w:rsid w:val="00A076D5"/>
    <w:rsid w:val="00A10B13"/>
    <w:rsid w:val="00A132DE"/>
    <w:rsid w:val="00A14113"/>
    <w:rsid w:val="00A17122"/>
    <w:rsid w:val="00A21370"/>
    <w:rsid w:val="00A21EB5"/>
    <w:rsid w:val="00A23BBB"/>
    <w:rsid w:val="00A25E49"/>
    <w:rsid w:val="00A26588"/>
    <w:rsid w:val="00A26690"/>
    <w:rsid w:val="00A268EB"/>
    <w:rsid w:val="00A27634"/>
    <w:rsid w:val="00A27DE0"/>
    <w:rsid w:val="00A31CA6"/>
    <w:rsid w:val="00A333C3"/>
    <w:rsid w:val="00A372BB"/>
    <w:rsid w:val="00A40EB9"/>
    <w:rsid w:val="00A40FC7"/>
    <w:rsid w:val="00A42992"/>
    <w:rsid w:val="00A4379C"/>
    <w:rsid w:val="00A4455C"/>
    <w:rsid w:val="00A52F0B"/>
    <w:rsid w:val="00A52F96"/>
    <w:rsid w:val="00A53390"/>
    <w:rsid w:val="00A5690B"/>
    <w:rsid w:val="00A56E02"/>
    <w:rsid w:val="00A644DD"/>
    <w:rsid w:val="00A64BA9"/>
    <w:rsid w:val="00A65768"/>
    <w:rsid w:val="00A66C17"/>
    <w:rsid w:val="00A706B5"/>
    <w:rsid w:val="00A712AC"/>
    <w:rsid w:val="00A7173B"/>
    <w:rsid w:val="00A728D6"/>
    <w:rsid w:val="00A75378"/>
    <w:rsid w:val="00A75484"/>
    <w:rsid w:val="00A8003E"/>
    <w:rsid w:val="00A827E2"/>
    <w:rsid w:val="00A8303B"/>
    <w:rsid w:val="00A83AD7"/>
    <w:rsid w:val="00A84AF6"/>
    <w:rsid w:val="00A900BC"/>
    <w:rsid w:val="00A94087"/>
    <w:rsid w:val="00A95075"/>
    <w:rsid w:val="00A95A9A"/>
    <w:rsid w:val="00A95B05"/>
    <w:rsid w:val="00A9704D"/>
    <w:rsid w:val="00AA0A3E"/>
    <w:rsid w:val="00AA261D"/>
    <w:rsid w:val="00AA2A42"/>
    <w:rsid w:val="00AA4926"/>
    <w:rsid w:val="00AA61E0"/>
    <w:rsid w:val="00AA764B"/>
    <w:rsid w:val="00AB4BFA"/>
    <w:rsid w:val="00AB632F"/>
    <w:rsid w:val="00AC0848"/>
    <w:rsid w:val="00AC24F0"/>
    <w:rsid w:val="00AC2694"/>
    <w:rsid w:val="00AC3816"/>
    <w:rsid w:val="00AC3AE4"/>
    <w:rsid w:val="00AC7C7B"/>
    <w:rsid w:val="00AD3723"/>
    <w:rsid w:val="00AD60FF"/>
    <w:rsid w:val="00AE1520"/>
    <w:rsid w:val="00AE4000"/>
    <w:rsid w:val="00AE5FDA"/>
    <w:rsid w:val="00AF15CF"/>
    <w:rsid w:val="00AF1924"/>
    <w:rsid w:val="00AF3B87"/>
    <w:rsid w:val="00AF68A8"/>
    <w:rsid w:val="00AF764B"/>
    <w:rsid w:val="00B00D8F"/>
    <w:rsid w:val="00B0182C"/>
    <w:rsid w:val="00B02BC3"/>
    <w:rsid w:val="00B03473"/>
    <w:rsid w:val="00B04516"/>
    <w:rsid w:val="00B0532F"/>
    <w:rsid w:val="00B055E0"/>
    <w:rsid w:val="00B06B1D"/>
    <w:rsid w:val="00B134D6"/>
    <w:rsid w:val="00B14E9F"/>
    <w:rsid w:val="00B15425"/>
    <w:rsid w:val="00B15DAE"/>
    <w:rsid w:val="00B164DC"/>
    <w:rsid w:val="00B166F7"/>
    <w:rsid w:val="00B1798E"/>
    <w:rsid w:val="00B20CD4"/>
    <w:rsid w:val="00B212E7"/>
    <w:rsid w:val="00B228D7"/>
    <w:rsid w:val="00B231D5"/>
    <w:rsid w:val="00B23379"/>
    <w:rsid w:val="00B239C2"/>
    <w:rsid w:val="00B2478E"/>
    <w:rsid w:val="00B25125"/>
    <w:rsid w:val="00B26471"/>
    <w:rsid w:val="00B31D5B"/>
    <w:rsid w:val="00B35016"/>
    <w:rsid w:val="00B35CF4"/>
    <w:rsid w:val="00B36D24"/>
    <w:rsid w:val="00B37299"/>
    <w:rsid w:val="00B409B1"/>
    <w:rsid w:val="00B41AA0"/>
    <w:rsid w:val="00B43452"/>
    <w:rsid w:val="00B500AD"/>
    <w:rsid w:val="00B508FE"/>
    <w:rsid w:val="00B52703"/>
    <w:rsid w:val="00B52B27"/>
    <w:rsid w:val="00B53868"/>
    <w:rsid w:val="00B70A5E"/>
    <w:rsid w:val="00B70DBC"/>
    <w:rsid w:val="00B73A17"/>
    <w:rsid w:val="00B74838"/>
    <w:rsid w:val="00B770C5"/>
    <w:rsid w:val="00B77AA5"/>
    <w:rsid w:val="00B82377"/>
    <w:rsid w:val="00B824AE"/>
    <w:rsid w:val="00B86B0C"/>
    <w:rsid w:val="00B87AA3"/>
    <w:rsid w:val="00B90859"/>
    <w:rsid w:val="00B91A95"/>
    <w:rsid w:val="00B93455"/>
    <w:rsid w:val="00B94C0A"/>
    <w:rsid w:val="00B951A8"/>
    <w:rsid w:val="00BA14A7"/>
    <w:rsid w:val="00BA3348"/>
    <w:rsid w:val="00BA4AC6"/>
    <w:rsid w:val="00BA5876"/>
    <w:rsid w:val="00BA68DD"/>
    <w:rsid w:val="00BA69CC"/>
    <w:rsid w:val="00BB0E31"/>
    <w:rsid w:val="00BB15D7"/>
    <w:rsid w:val="00BB1BE5"/>
    <w:rsid w:val="00BB1BF9"/>
    <w:rsid w:val="00BB20A5"/>
    <w:rsid w:val="00BB3291"/>
    <w:rsid w:val="00BB3485"/>
    <w:rsid w:val="00BB5ABE"/>
    <w:rsid w:val="00BB7A4E"/>
    <w:rsid w:val="00BC08C5"/>
    <w:rsid w:val="00BC7F32"/>
    <w:rsid w:val="00BD1E80"/>
    <w:rsid w:val="00BD33DD"/>
    <w:rsid w:val="00BD40FA"/>
    <w:rsid w:val="00BD6A8D"/>
    <w:rsid w:val="00BE073E"/>
    <w:rsid w:val="00BE1193"/>
    <w:rsid w:val="00BE18EF"/>
    <w:rsid w:val="00BE2E35"/>
    <w:rsid w:val="00BE3554"/>
    <w:rsid w:val="00BF1579"/>
    <w:rsid w:val="00BF3341"/>
    <w:rsid w:val="00C0004B"/>
    <w:rsid w:val="00C01731"/>
    <w:rsid w:val="00C01F44"/>
    <w:rsid w:val="00C028DF"/>
    <w:rsid w:val="00C02E17"/>
    <w:rsid w:val="00C02F03"/>
    <w:rsid w:val="00C04425"/>
    <w:rsid w:val="00C05941"/>
    <w:rsid w:val="00C060F1"/>
    <w:rsid w:val="00C07523"/>
    <w:rsid w:val="00C10858"/>
    <w:rsid w:val="00C11DB4"/>
    <w:rsid w:val="00C13B28"/>
    <w:rsid w:val="00C168D9"/>
    <w:rsid w:val="00C16A55"/>
    <w:rsid w:val="00C201B4"/>
    <w:rsid w:val="00C20475"/>
    <w:rsid w:val="00C204C3"/>
    <w:rsid w:val="00C26380"/>
    <w:rsid w:val="00C3103A"/>
    <w:rsid w:val="00C32259"/>
    <w:rsid w:val="00C33D12"/>
    <w:rsid w:val="00C349EC"/>
    <w:rsid w:val="00C34F52"/>
    <w:rsid w:val="00C36478"/>
    <w:rsid w:val="00C400F5"/>
    <w:rsid w:val="00C41DA6"/>
    <w:rsid w:val="00C422E1"/>
    <w:rsid w:val="00C433E9"/>
    <w:rsid w:val="00C53DE8"/>
    <w:rsid w:val="00C54945"/>
    <w:rsid w:val="00C56F41"/>
    <w:rsid w:val="00C6026B"/>
    <w:rsid w:val="00C60E12"/>
    <w:rsid w:val="00C622A2"/>
    <w:rsid w:val="00C662FE"/>
    <w:rsid w:val="00C71EBC"/>
    <w:rsid w:val="00C72561"/>
    <w:rsid w:val="00C72678"/>
    <w:rsid w:val="00C7353E"/>
    <w:rsid w:val="00C77BA9"/>
    <w:rsid w:val="00C81C49"/>
    <w:rsid w:val="00C830D6"/>
    <w:rsid w:val="00C85328"/>
    <w:rsid w:val="00C862CE"/>
    <w:rsid w:val="00C9114B"/>
    <w:rsid w:val="00C92F18"/>
    <w:rsid w:val="00C93081"/>
    <w:rsid w:val="00C94D36"/>
    <w:rsid w:val="00C95B23"/>
    <w:rsid w:val="00C9778A"/>
    <w:rsid w:val="00C97CC3"/>
    <w:rsid w:val="00CA459A"/>
    <w:rsid w:val="00CA6DA6"/>
    <w:rsid w:val="00CB07B1"/>
    <w:rsid w:val="00CB2589"/>
    <w:rsid w:val="00CB5E4D"/>
    <w:rsid w:val="00CB709F"/>
    <w:rsid w:val="00CC3973"/>
    <w:rsid w:val="00CC410C"/>
    <w:rsid w:val="00CC5186"/>
    <w:rsid w:val="00CD176B"/>
    <w:rsid w:val="00CD72D2"/>
    <w:rsid w:val="00CE0068"/>
    <w:rsid w:val="00CE2351"/>
    <w:rsid w:val="00CE3335"/>
    <w:rsid w:val="00CE37D5"/>
    <w:rsid w:val="00CF192B"/>
    <w:rsid w:val="00CF2430"/>
    <w:rsid w:val="00CF33FC"/>
    <w:rsid w:val="00CF68E1"/>
    <w:rsid w:val="00CF6F26"/>
    <w:rsid w:val="00CF73C0"/>
    <w:rsid w:val="00CF7E71"/>
    <w:rsid w:val="00D03EC4"/>
    <w:rsid w:val="00D11CB0"/>
    <w:rsid w:val="00D11D62"/>
    <w:rsid w:val="00D13ED7"/>
    <w:rsid w:val="00D1423E"/>
    <w:rsid w:val="00D159EB"/>
    <w:rsid w:val="00D15CE4"/>
    <w:rsid w:val="00D178A5"/>
    <w:rsid w:val="00D20181"/>
    <w:rsid w:val="00D248F6"/>
    <w:rsid w:val="00D317E6"/>
    <w:rsid w:val="00D3399E"/>
    <w:rsid w:val="00D33F9E"/>
    <w:rsid w:val="00D3543F"/>
    <w:rsid w:val="00D426CF"/>
    <w:rsid w:val="00D4297F"/>
    <w:rsid w:val="00D4743C"/>
    <w:rsid w:val="00D47547"/>
    <w:rsid w:val="00D553CF"/>
    <w:rsid w:val="00D60F81"/>
    <w:rsid w:val="00D625BB"/>
    <w:rsid w:val="00D62E5C"/>
    <w:rsid w:val="00D63087"/>
    <w:rsid w:val="00D63E68"/>
    <w:rsid w:val="00D7116A"/>
    <w:rsid w:val="00D71283"/>
    <w:rsid w:val="00D714CF"/>
    <w:rsid w:val="00D71FC5"/>
    <w:rsid w:val="00D72001"/>
    <w:rsid w:val="00D77319"/>
    <w:rsid w:val="00D80202"/>
    <w:rsid w:val="00D82682"/>
    <w:rsid w:val="00D85122"/>
    <w:rsid w:val="00D858E8"/>
    <w:rsid w:val="00D91910"/>
    <w:rsid w:val="00D936C3"/>
    <w:rsid w:val="00D93ACB"/>
    <w:rsid w:val="00D93C70"/>
    <w:rsid w:val="00D94AD3"/>
    <w:rsid w:val="00D957DB"/>
    <w:rsid w:val="00DA34DC"/>
    <w:rsid w:val="00DA354C"/>
    <w:rsid w:val="00DA7386"/>
    <w:rsid w:val="00DB01A3"/>
    <w:rsid w:val="00DB2B39"/>
    <w:rsid w:val="00DB2F0E"/>
    <w:rsid w:val="00DB5869"/>
    <w:rsid w:val="00DB6B2A"/>
    <w:rsid w:val="00DC222A"/>
    <w:rsid w:val="00DC2417"/>
    <w:rsid w:val="00DC4C00"/>
    <w:rsid w:val="00DC70B7"/>
    <w:rsid w:val="00DD1FCA"/>
    <w:rsid w:val="00DD3088"/>
    <w:rsid w:val="00DD38B9"/>
    <w:rsid w:val="00DE1062"/>
    <w:rsid w:val="00DE1228"/>
    <w:rsid w:val="00DE2E8B"/>
    <w:rsid w:val="00DE4AD6"/>
    <w:rsid w:val="00DE644E"/>
    <w:rsid w:val="00DF0CC2"/>
    <w:rsid w:val="00DF195E"/>
    <w:rsid w:val="00DF1BFF"/>
    <w:rsid w:val="00DF357A"/>
    <w:rsid w:val="00E0078F"/>
    <w:rsid w:val="00E00BA2"/>
    <w:rsid w:val="00E029A4"/>
    <w:rsid w:val="00E02C56"/>
    <w:rsid w:val="00E12EF0"/>
    <w:rsid w:val="00E1367B"/>
    <w:rsid w:val="00E138F6"/>
    <w:rsid w:val="00E21A5C"/>
    <w:rsid w:val="00E2522B"/>
    <w:rsid w:val="00E25FFF"/>
    <w:rsid w:val="00E30EC1"/>
    <w:rsid w:val="00E3111A"/>
    <w:rsid w:val="00E31422"/>
    <w:rsid w:val="00E32C97"/>
    <w:rsid w:val="00E32CD4"/>
    <w:rsid w:val="00E3440F"/>
    <w:rsid w:val="00E34965"/>
    <w:rsid w:val="00E36B5C"/>
    <w:rsid w:val="00E3730D"/>
    <w:rsid w:val="00E37B7D"/>
    <w:rsid w:val="00E37DB1"/>
    <w:rsid w:val="00E400A0"/>
    <w:rsid w:val="00E42626"/>
    <w:rsid w:val="00E45558"/>
    <w:rsid w:val="00E45E25"/>
    <w:rsid w:val="00E47577"/>
    <w:rsid w:val="00E47E50"/>
    <w:rsid w:val="00E50F2F"/>
    <w:rsid w:val="00E56011"/>
    <w:rsid w:val="00E6491D"/>
    <w:rsid w:val="00E668C5"/>
    <w:rsid w:val="00E723A3"/>
    <w:rsid w:val="00E723C2"/>
    <w:rsid w:val="00E73246"/>
    <w:rsid w:val="00E7526F"/>
    <w:rsid w:val="00E75480"/>
    <w:rsid w:val="00E754B1"/>
    <w:rsid w:val="00E81401"/>
    <w:rsid w:val="00E81493"/>
    <w:rsid w:val="00E816E3"/>
    <w:rsid w:val="00E81932"/>
    <w:rsid w:val="00E84F3E"/>
    <w:rsid w:val="00E8594D"/>
    <w:rsid w:val="00E87A55"/>
    <w:rsid w:val="00E93772"/>
    <w:rsid w:val="00E95B22"/>
    <w:rsid w:val="00E96CB7"/>
    <w:rsid w:val="00E97FB6"/>
    <w:rsid w:val="00EA3B59"/>
    <w:rsid w:val="00EA3BE6"/>
    <w:rsid w:val="00EB17B9"/>
    <w:rsid w:val="00EB4CAB"/>
    <w:rsid w:val="00EB72C1"/>
    <w:rsid w:val="00EB7B5B"/>
    <w:rsid w:val="00EC0484"/>
    <w:rsid w:val="00EC08E2"/>
    <w:rsid w:val="00EC3F5F"/>
    <w:rsid w:val="00EC4D07"/>
    <w:rsid w:val="00EC4D0D"/>
    <w:rsid w:val="00EC5258"/>
    <w:rsid w:val="00EC66F9"/>
    <w:rsid w:val="00ED0FA3"/>
    <w:rsid w:val="00ED452C"/>
    <w:rsid w:val="00EE0AA2"/>
    <w:rsid w:val="00EE1C5B"/>
    <w:rsid w:val="00EE4C4C"/>
    <w:rsid w:val="00EE72F1"/>
    <w:rsid w:val="00EF021B"/>
    <w:rsid w:val="00EF0E25"/>
    <w:rsid w:val="00EF18D6"/>
    <w:rsid w:val="00EF6A0D"/>
    <w:rsid w:val="00EF6BD1"/>
    <w:rsid w:val="00F0083E"/>
    <w:rsid w:val="00F110C9"/>
    <w:rsid w:val="00F13677"/>
    <w:rsid w:val="00F1610D"/>
    <w:rsid w:val="00F16447"/>
    <w:rsid w:val="00F173DF"/>
    <w:rsid w:val="00F205DC"/>
    <w:rsid w:val="00F214EA"/>
    <w:rsid w:val="00F2431A"/>
    <w:rsid w:val="00F25BAB"/>
    <w:rsid w:val="00F3136E"/>
    <w:rsid w:val="00F3602E"/>
    <w:rsid w:val="00F4443A"/>
    <w:rsid w:val="00F44AD1"/>
    <w:rsid w:val="00F5331A"/>
    <w:rsid w:val="00F56CA0"/>
    <w:rsid w:val="00F61208"/>
    <w:rsid w:val="00F63183"/>
    <w:rsid w:val="00F63B65"/>
    <w:rsid w:val="00F7262A"/>
    <w:rsid w:val="00F72D46"/>
    <w:rsid w:val="00F730EF"/>
    <w:rsid w:val="00F81CEE"/>
    <w:rsid w:val="00F81E68"/>
    <w:rsid w:val="00F83097"/>
    <w:rsid w:val="00F849BF"/>
    <w:rsid w:val="00F90DB4"/>
    <w:rsid w:val="00F92966"/>
    <w:rsid w:val="00FA0A85"/>
    <w:rsid w:val="00FA1910"/>
    <w:rsid w:val="00FA1A3D"/>
    <w:rsid w:val="00FA38B7"/>
    <w:rsid w:val="00FA6EA1"/>
    <w:rsid w:val="00FA7990"/>
    <w:rsid w:val="00FB0089"/>
    <w:rsid w:val="00FB474D"/>
    <w:rsid w:val="00FB6DC4"/>
    <w:rsid w:val="00FB75D9"/>
    <w:rsid w:val="00FB78CC"/>
    <w:rsid w:val="00FC0E6E"/>
    <w:rsid w:val="00FC1253"/>
    <w:rsid w:val="00FC376B"/>
    <w:rsid w:val="00FC435F"/>
    <w:rsid w:val="00FC6B73"/>
    <w:rsid w:val="00FC72D5"/>
    <w:rsid w:val="00FC7BBA"/>
    <w:rsid w:val="00FD17EE"/>
    <w:rsid w:val="00FD2C3B"/>
    <w:rsid w:val="00FD5F54"/>
    <w:rsid w:val="00FD67E4"/>
    <w:rsid w:val="00FE0711"/>
    <w:rsid w:val="00FE3FAB"/>
    <w:rsid w:val="00FE4FD9"/>
    <w:rsid w:val="00FE5199"/>
    <w:rsid w:val="00FF2674"/>
    <w:rsid w:val="00FF33B7"/>
    <w:rsid w:val="00FF5471"/>
    <w:rsid w:val="00FF5D99"/>
    <w:rsid w:val="00FF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0D73CE-F65B-4683-9BAB-65603686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1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A5C"/>
    <w:rPr>
      <w:color w:val="0000FF" w:themeColor="hyperlink"/>
      <w:u w:val="single"/>
    </w:rPr>
  </w:style>
  <w:style w:type="paragraph" w:styleId="Header">
    <w:name w:val="header"/>
    <w:basedOn w:val="Normal"/>
    <w:link w:val="HeaderChar"/>
    <w:uiPriority w:val="99"/>
    <w:unhideWhenUsed/>
    <w:rsid w:val="00010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C9"/>
  </w:style>
  <w:style w:type="paragraph" w:styleId="Footer">
    <w:name w:val="footer"/>
    <w:basedOn w:val="Normal"/>
    <w:link w:val="FooterChar"/>
    <w:uiPriority w:val="99"/>
    <w:unhideWhenUsed/>
    <w:rsid w:val="00010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C9"/>
  </w:style>
  <w:style w:type="paragraph" w:styleId="ListParagraph">
    <w:name w:val="List Paragraph"/>
    <w:basedOn w:val="Normal"/>
    <w:uiPriority w:val="34"/>
    <w:qFormat/>
    <w:rsid w:val="00A900BC"/>
    <w:pPr>
      <w:ind w:left="720"/>
      <w:contextualSpacing/>
    </w:pPr>
  </w:style>
  <w:style w:type="character" w:customStyle="1" w:styleId="apple-converted-space">
    <w:name w:val="apple-converted-space"/>
    <w:basedOn w:val="DefaultParagraphFont"/>
    <w:rsid w:val="0022788E"/>
  </w:style>
  <w:style w:type="paragraph" w:styleId="BalloonText">
    <w:name w:val="Balloon Text"/>
    <w:basedOn w:val="Normal"/>
    <w:link w:val="BalloonTextChar"/>
    <w:uiPriority w:val="99"/>
    <w:semiHidden/>
    <w:unhideWhenUsed/>
    <w:rsid w:val="00731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861">
      <w:bodyDiv w:val="1"/>
      <w:marLeft w:val="0"/>
      <w:marRight w:val="0"/>
      <w:marTop w:val="0"/>
      <w:marBottom w:val="0"/>
      <w:divBdr>
        <w:top w:val="none" w:sz="0" w:space="0" w:color="auto"/>
        <w:left w:val="none" w:sz="0" w:space="0" w:color="auto"/>
        <w:bottom w:val="none" w:sz="0" w:space="0" w:color="auto"/>
        <w:right w:val="none" w:sz="0" w:space="0" w:color="auto"/>
      </w:divBdr>
    </w:div>
    <w:div w:id="176357558">
      <w:bodyDiv w:val="1"/>
      <w:marLeft w:val="0"/>
      <w:marRight w:val="0"/>
      <w:marTop w:val="0"/>
      <w:marBottom w:val="0"/>
      <w:divBdr>
        <w:top w:val="none" w:sz="0" w:space="0" w:color="auto"/>
        <w:left w:val="none" w:sz="0" w:space="0" w:color="auto"/>
        <w:bottom w:val="none" w:sz="0" w:space="0" w:color="auto"/>
        <w:right w:val="none" w:sz="0" w:space="0" w:color="auto"/>
      </w:divBdr>
    </w:div>
    <w:div w:id="237137664">
      <w:bodyDiv w:val="1"/>
      <w:marLeft w:val="0"/>
      <w:marRight w:val="0"/>
      <w:marTop w:val="0"/>
      <w:marBottom w:val="0"/>
      <w:divBdr>
        <w:top w:val="none" w:sz="0" w:space="0" w:color="auto"/>
        <w:left w:val="none" w:sz="0" w:space="0" w:color="auto"/>
        <w:bottom w:val="none" w:sz="0" w:space="0" w:color="auto"/>
        <w:right w:val="none" w:sz="0" w:space="0" w:color="auto"/>
      </w:divBdr>
    </w:div>
    <w:div w:id="248655777">
      <w:bodyDiv w:val="1"/>
      <w:marLeft w:val="0"/>
      <w:marRight w:val="0"/>
      <w:marTop w:val="0"/>
      <w:marBottom w:val="0"/>
      <w:divBdr>
        <w:top w:val="none" w:sz="0" w:space="0" w:color="auto"/>
        <w:left w:val="none" w:sz="0" w:space="0" w:color="auto"/>
        <w:bottom w:val="none" w:sz="0" w:space="0" w:color="auto"/>
        <w:right w:val="none" w:sz="0" w:space="0" w:color="auto"/>
      </w:divBdr>
    </w:div>
    <w:div w:id="372969076">
      <w:bodyDiv w:val="1"/>
      <w:marLeft w:val="0"/>
      <w:marRight w:val="0"/>
      <w:marTop w:val="0"/>
      <w:marBottom w:val="0"/>
      <w:divBdr>
        <w:top w:val="none" w:sz="0" w:space="0" w:color="auto"/>
        <w:left w:val="none" w:sz="0" w:space="0" w:color="auto"/>
        <w:bottom w:val="none" w:sz="0" w:space="0" w:color="auto"/>
        <w:right w:val="none" w:sz="0" w:space="0" w:color="auto"/>
      </w:divBdr>
    </w:div>
    <w:div w:id="708190295">
      <w:bodyDiv w:val="1"/>
      <w:marLeft w:val="0"/>
      <w:marRight w:val="0"/>
      <w:marTop w:val="0"/>
      <w:marBottom w:val="0"/>
      <w:divBdr>
        <w:top w:val="none" w:sz="0" w:space="0" w:color="auto"/>
        <w:left w:val="none" w:sz="0" w:space="0" w:color="auto"/>
        <w:bottom w:val="none" w:sz="0" w:space="0" w:color="auto"/>
        <w:right w:val="none" w:sz="0" w:space="0" w:color="auto"/>
      </w:divBdr>
    </w:div>
    <w:div w:id="756710884">
      <w:bodyDiv w:val="1"/>
      <w:marLeft w:val="0"/>
      <w:marRight w:val="0"/>
      <w:marTop w:val="0"/>
      <w:marBottom w:val="0"/>
      <w:divBdr>
        <w:top w:val="none" w:sz="0" w:space="0" w:color="auto"/>
        <w:left w:val="none" w:sz="0" w:space="0" w:color="auto"/>
        <w:bottom w:val="none" w:sz="0" w:space="0" w:color="auto"/>
        <w:right w:val="none" w:sz="0" w:space="0" w:color="auto"/>
      </w:divBdr>
    </w:div>
    <w:div w:id="853617871">
      <w:bodyDiv w:val="1"/>
      <w:marLeft w:val="0"/>
      <w:marRight w:val="0"/>
      <w:marTop w:val="0"/>
      <w:marBottom w:val="0"/>
      <w:divBdr>
        <w:top w:val="none" w:sz="0" w:space="0" w:color="auto"/>
        <w:left w:val="none" w:sz="0" w:space="0" w:color="auto"/>
        <w:bottom w:val="none" w:sz="0" w:space="0" w:color="auto"/>
        <w:right w:val="none" w:sz="0" w:space="0" w:color="auto"/>
      </w:divBdr>
      <w:divsChild>
        <w:div w:id="1902596487">
          <w:marLeft w:val="0"/>
          <w:marRight w:val="0"/>
          <w:marTop w:val="0"/>
          <w:marBottom w:val="0"/>
          <w:divBdr>
            <w:top w:val="none" w:sz="0" w:space="0" w:color="auto"/>
            <w:left w:val="none" w:sz="0" w:space="0" w:color="auto"/>
            <w:bottom w:val="none" w:sz="0" w:space="0" w:color="auto"/>
            <w:right w:val="none" w:sz="0" w:space="0" w:color="auto"/>
          </w:divBdr>
        </w:div>
        <w:div w:id="896281917">
          <w:marLeft w:val="0"/>
          <w:marRight w:val="0"/>
          <w:marTop w:val="0"/>
          <w:marBottom w:val="0"/>
          <w:divBdr>
            <w:top w:val="none" w:sz="0" w:space="0" w:color="auto"/>
            <w:left w:val="none" w:sz="0" w:space="0" w:color="auto"/>
            <w:bottom w:val="none" w:sz="0" w:space="0" w:color="auto"/>
            <w:right w:val="none" w:sz="0" w:space="0" w:color="auto"/>
          </w:divBdr>
        </w:div>
        <w:div w:id="450516402">
          <w:marLeft w:val="0"/>
          <w:marRight w:val="0"/>
          <w:marTop w:val="0"/>
          <w:marBottom w:val="0"/>
          <w:divBdr>
            <w:top w:val="none" w:sz="0" w:space="0" w:color="auto"/>
            <w:left w:val="none" w:sz="0" w:space="0" w:color="auto"/>
            <w:bottom w:val="none" w:sz="0" w:space="0" w:color="auto"/>
            <w:right w:val="none" w:sz="0" w:space="0" w:color="auto"/>
          </w:divBdr>
        </w:div>
      </w:divsChild>
    </w:div>
    <w:div w:id="1071125934">
      <w:bodyDiv w:val="1"/>
      <w:marLeft w:val="0"/>
      <w:marRight w:val="0"/>
      <w:marTop w:val="0"/>
      <w:marBottom w:val="0"/>
      <w:divBdr>
        <w:top w:val="none" w:sz="0" w:space="0" w:color="auto"/>
        <w:left w:val="none" w:sz="0" w:space="0" w:color="auto"/>
        <w:bottom w:val="none" w:sz="0" w:space="0" w:color="auto"/>
        <w:right w:val="none" w:sz="0" w:space="0" w:color="auto"/>
      </w:divBdr>
    </w:div>
    <w:div w:id="1139881694">
      <w:bodyDiv w:val="1"/>
      <w:marLeft w:val="0"/>
      <w:marRight w:val="0"/>
      <w:marTop w:val="0"/>
      <w:marBottom w:val="0"/>
      <w:divBdr>
        <w:top w:val="none" w:sz="0" w:space="0" w:color="auto"/>
        <w:left w:val="none" w:sz="0" w:space="0" w:color="auto"/>
        <w:bottom w:val="none" w:sz="0" w:space="0" w:color="auto"/>
        <w:right w:val="none" w:sz="0" w:space="0" w:color="auto"/>
      </w:divBdr>
    </w:div>
    <w:div w:id="1145852879">
      <w:bodyDiv w:val="1"/>
      <w:marLeft w:val="0"/>
      <w:marRight w:val="0"/>
      <w:marTop w:val="0"/>
      <w:marBottom w:val="0"/>
      <w:divBdr>
        <w:top w:val="none" w:sz="0" w:space="0" w:color="auto"/>
        <w:left w:val="none" w:sz="0" w:space="0" w:color="auto"/>
        <w:bottom w:val="none" w:sz="0" w:space="0" w:color="auto"/>
        <w:right w:val="none" w:sz="0" w:space="0" w:color="auto"/>
      </w:divBdr>
    </w:div>
    <w:div w:id="1449854636">
      <w:bodyDiv w:val="1"/>
      <w:marLeft w:val="0"/>
      <w:marRight w:val="0"/>
      <w:marTop w:val="0"/>
      <w:marBottom w:val="0"/>
      <w:divBdr>
        <w:top w:val="none" w:sz="0" w:space="0" w:color="auto"/>
        <w:left w:val="none" w:sz="0" w:space="0" w:color="auto"/>
        <w:bottom w:val="none" w:sz="0" w:space="0" w:color="auto"/>
        <w:right w:val="none" w:sz="0" w:space="0" w:color="auto"/>
      </w:divBdr>
    </w:div>
    <w:div w:id="1534883855">
      <w:bodyDiv w:val="1"/>
      <w:marLeft w:val="0"/>
      <w:marRight w:val="0"/>
      <w:marTop w:val="0"/>
      <w:marBottom w:val="0"/>
      <w:divBdr>
        <w:top w:val="none" w:sz="0" w:space="0" w:color="auto"/>
        <w:left w:val="none" w:sz="0" w:space="0" w:color="auto"/>
        <w:bottom w:val="none" w:sz="0" w:space="0" w:color="auto"/>
        <w:right w:val="none" w:sz="0" w:space="0" w:color="auto"/>
      </w:divBdr>
    </w:div>
    <w:div w:id="1536576465">
      <w:bodyDiv w:val="1"/>
      <w:marLeft w:val="0"/>
      <w:marRight w:val="0"/>
      <w:marTop w:val="0"/>
      <w:marBottom w:val="0"/>
      <w:divBdr>
        <w:top w:val="none" w:sz="0" w:space="0" w:color="auto"/>
        <w:left w:val="none" w:sz="0" w:space="0" w:color="auto"/>
        <w:bottom w:val="none" w:sz="0" w:space="0" w:color="auto"/>
        <w:right w:val="none" w:sz="0" w:space="0" w:color="auto"/>
      </w:divBdr>
    </w:div>
    <w:div w:id="1769688665">
      <w:bodyDiv w:val="1"/>
      <w:marLeft w:val="0"/>
      <w:marRight w:val="0"/>
      <w:marTop w:val="0"/>
      <w:marBottom w:val="0"/>
      <w:divBdr>
        <w:top w:val="none" w:sz="0" w:space="0" w:color="auto"/>
        <w:left w:val="none" w:sz="0" w:space="0" w:color="auto"/>
        <w:bottom w:val="none" w:sz="0" w:space="0" w:color="auto"/>
        <w:right w:val="none" w:sz="0" w:space="0" w:color="auto"/>
      </w:divBdr>
    </w:div>
    <w:div w:id="1920409398">
      <w:bodyDiv w:val="1"/>
      <w:marLeft w:val="0"/>
      <w:marRight w:val="0"/>
      <w:marTop w:val="0"/>
      <w:marBottom w:val="0"/>
      <w:divBdr>
        <w:top w:val="none" w:sz="0" w:space="0" w:color="auto"/>
        <w:left w:val="none" w:sz="0" w:space="0" w:color="auto"/>
        <w:bottom w:val="none" w:sz="0" w:space="0" w:color="auto"/>
        <w:right w:val="none" w:sz="0" w:space="0" w:color="auto"/>
      </w:divBdr>
    </w:div>
    <w:div w:id="20911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71567/Transitional_Relief_consultation_respons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0F301-DD04-4B03-A636-B5B22ABF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bcc-f.krasniqi</dc:creator>
  <cp:lastModifiedBy>Kirsty Arnold</cp:lastModifiedBy>
  <cp:revision>2</cp:revision>
  <cp:lastPrinted>2016-11-23T15:13:00Z</cp:lastPrinted>
  <dcterms:created xsi:type="dcterms:W3CDTF">2016-11-23T16:11:00Z</dcterms:created>
  <dcterms:modified xsi:type="dcterms:W3CDTF">2016-11-23T16:11:00Z</dcterms:modified>
</cp:coreProperties>
</file>